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6662" w:rsidRDefault="0056285E">
      <w:pPr>
        <w:spacing w:line="360" w:lineRule="auto"/>
        <w:jc w:val="center"/>
      </w:pPr>
      <w:r>
        <w:rPr>
          <w:b/>
          <w:sz w:val="22"/>
          <w:u w:val="single"/>
        </w:rPr>
        <w:t>PORTARIA Nº 473/2026 – PRESIDÊNCIA CRO/RS</w:t>
      </w:r>
    </w:p>
    <w:p w:rsidR="00266662" w:rsidRDefault="00266662"/>
    <w:p w:rsidR="00266662" w:rsidRDefault="00266662"/>
    <w:p w:rsidR="00266662" w:rsidRDefault="0056285E">
      <w:pPr>
        <w:spacing w:line="360" w:lineRule="auto"/>
        <w:ind w:firstLine="1701"/>
        <w:jc w:val="both"/>
      </w:pPr>
      <w:r>
        <w:rPr>
          <w:sz w:val="22"/>
        </w:rPr>
        <w:t xml:space="preserve">A Presidente do </w:t>
      </w:r>
      <w:r>
        <w:rPr>
          <w:b/>
          <w:sz w:val="22"/>
        </w:rPr>
        <w:t>CONSELHO REGIONAL DE ODONTOLOGIA DO RIO GRANDE DO SUL (CRO/RS),</w:t>
      </w:r>
      <w:r>
        <w:rPr>
          <w:sz w:val="22"/>
        </w:rPr>
        <w:t xml:space="preserve"> no uso das atribuições legais e regimentais que lhe são conferidas pela Lei nº 4.324, de 14 de abril de 1964, pelo Decreto nº 68.704, de 3 de junho de 1971, e pelo Regimento Interno do Conselho Federal de Odontologia (Resolução CFO-34/2002), aplicável ao </w:t>
      </w:r>
      <w:r>
        <w:rPr>
          <w:sz w:val="22"/>
        </w:rPr>
        <w:t>CRO/RS no que couber (art. 108), e</w:t>
      </w:r>
    </w:p>
    <w:p w:rsidR="00266662" w:rsidRDefault="0056285E">
      <w:pPr>
        <w:spacing w:line="360" w:lineRule="auto"/>
        <w:ind w:firstLine="1701"/>
        <w:jc w:val="both"/>
      </w:pPr>
      <w:r>
        <w:rPr>
          <w:sz w:val="22"/>
        </w:rPr>
        <w:t>CONSIDERANDO o disposto no art. 37, caput e § 5º, da Constituição Federal, que consagra os princípios da moralidade administrativa e a imprescritibilidade das ações de ressarcimento ao erário;</w:t>
      </w:r>
    </w:p>
    <w:p w:rsidR="00266662" w:rsidRDefault="0056285E">
      <w:pPr>
        <w:spacing w:line="360" w:lineRule="auto"/>
        <w:ind w:firstLine="1701"/>
        <w:jc w:val="both"/>
      </w:pPr>
      <w:r>
        <w:rPr>
          <w:sz w:val="22"/>
        </w:rPr>
        <w:t>CONSIDERANDO o art. 70, pará</w:t>
      </w:r>
      <w:r>
        <w:rPr>
          <w:sz w:val="22"/>
        </w:rPr>
        <w:t>grafo único, da Constituição Federal, que impõe o dever de prestar contas a quem gerencia bens e valores públicos;</w:t>
      </w:r>
    </w:p>
    <w:p w:rsidR="00266662" w:rsidRDefault="0056285E">
      <w:pPr>
        <w:spacing w:line="360" w:lineRule="auto"/>
        <w:ind w:firstLine="1701"/>
        <w:jc w:val="both"/>
      </w:pPr>
      <w:r>
        <w:rPr>
          <w:sz w:val="22"/>
        </w:rPr>
        <w:t>CONSIDERANDO o Relatório Administrativo Preliminar elaborado pela Secretaria Administrativa do CRO/RS em 28 de maio de 2026, o qual apurou pa</w:t>
      </w:r>
      <w:r>
        <w:rPr>
          <w:sz w:val="22"/>
        </w:rPr>
        <w:t>gamentos processados em favor de Willians da Silva Marks, favorecido em relações de pagamento do CRO/RS, sob as rubricas Conselheiros, Despesas Miúdas de Pronto Pagamento e Funcionários, referentes ao exercício de 2026, totalizando 25 (vinte e cinco) regis</w:t>
      </w:r>
      <w:r>
        <w:rPr>
          <w:sz w:val="22"/>
        </w:rPr>
        <w:t>tros no escopo de apuração, no valor de R$ 43.427,60 (quarenta e três mil, quatrocentos e vinte e sete reais e sessenta centavos), sem a integral comprovação documental correspondente;</w:t>
      </w:r>
    </w:p>
    <w:p w:rsidR="00266662" w:rsidRDefault="0056285E">
      <w:pPr>
        <w:spacing w:line="360" w:lineRule="auto"/>
        <w:ind w:firstLine="1701"/>
        <w:jc w:val="both"/>
      </w:pPr>
      <w:r>
        <w:rPr>
          <w:sz w:val="22"/>
        </w:rPr>
        <w:t>CONSIDERANDO que a Resolução CRO/RS nº 004/2023 não disciplina de forma</w:t>
      </w:r>
      <w:r>
        <w:rPr>
          <w:sz w:val="22"/>
        </w:rPr>
        <w:t xml:space="preserve"> específica o suprimento de fundos e as despesas miúdas de pronto pagamento, devendo a apuração observar, nesse ponto, as regras gerais de prestação de contas e de direito administrativo aplicáveis à matéria;</w:t>
      </w:r>
    </w:p>
    <w:p w:rsidR="00266662" w:rsidRDefault="0056285E">
      <w:pPr>
        <w:spacing w:line="360" w:lineRule="auto"/>
        <w:ind w:firstLine="1701"/>
        <w:jc w:val="both"/>
      </w:pPr>
      <w:r>
        <w:rPr>
          <w:sz w:val="22"/>
        </w:rPr>
        <w:t>CONSIDERANDO a necessidade de confirmar a natur</w:t>
      </w:r>
      <w:r>
        <w:rPr>
          <w:sz w:val="22"/>
        </w:rPr>
        <w:t>eza de cada pagamento lançado em favor do investigado, conforme apontado no Relatório Administrativo Preliminar, antes de qualquer conclusão sobre regularidade ou irregularidade;</w:t>
      </w:r>
    </w:p>
    <w:p w:rsidR="00266662" w:rsidRDefault="0056285E">
      <w:pPr>
        <w:spacing w:line="360" w:lineRule="auto"/>
        <w:ind w:firstLine="1701"/>
        <w:jc w:val="both"/>
      </w:pPr>
      <w:r>
        <w:rPr>
          <w:sz w:val="22"/>
        </w:rPr>
        <w:t xml:space="preserve">CONSIDERANDO o despacho desta Presidência de 29 de maio de 2026, que acolheu </w:t>
      </w:r>
      <w:r>
        <w:rPr>
          <w:sz w:val="22"/>
        </w:rPr>
        <w:t>as sugestões constantes do Relatório Administrativo Preliminar e determinou a abertura de processo administrativo disciplinar para investigação dos fatos;</w:t>
      </w:r>
    </w:p>
    <w:p w:rsidR="00266662" w:rsidRDefault="0056285E">
      <w:pPr>
        <w:spacing w:line="360" w:lineRule="auto"/>
        <w:ind w:firstLine="1701"/>
        <w:jc w:val="both"/>
        <w:rPr>
          <w:sz w:val="22"/>
        </w:rPr>
      </w:pPr>
      <w:r>
        <w:rPr>
          <w:sz w:val="22"/>
        </w:rPr>
        <w:lastRenderedPageBreak/>
        <w:t>CONSIDERANDO a necessidade de assegurar, no curso da apuração, o devido processo legal, o contraditór</w:t>
      </w:r>
      <w:r>
        <w:rPr>
          <w:sz w:val="22"/>
        </w:rPr>
        <w:t>io e a ampla defesa, nos termos do art. 5º, incisos LIV e LV, da Constituição Federal, e do art. 44 da Lei nº 9.784/1999,</w:t>
      </w:r>
    </w:p>
    <w:p w:rsidR="00F81F7F" w:rsidRDefault="00F81F7F">
      <w:pPr>
        <w:spacing w:line="360" w:lineRule="auto"/>
        <w:ind w:firstLine="1701"/>
        <w:jc w:val="both"/>
      </w:pPr>
    </w:p>
    <w:p w:rsidR="00266662" w:rsidRDefault="0056285E">
      <w:pPr>
        <w:spacing w:line="360" w:lineRule="auto"/>
        <w:jc w:val="center"/>
        <w:rPr>
          <w:b/>
          <w:sz w:val="22"/>
        </w:rPr>
      </w:pPr>
      <w:r>
        <w:rPr>
          <w:b/>
          <w:sz w:val="22"/>
        </w:rPr>
        <w:t>RESOLVE:</w:t>
      </w:r>
    </w:p>
    <w:p w:rsidR="00F81F7F" w:rsidRDefault="00F81F7F">
      <w:pPr>
        <w:spacing w:line="360" w:lineRule="auto"/>
        <w:jc w:val="center"/>
      </w:pPr>
    </w:p>
    <w:p w:rsidR="00266662" w:rsidRDefault="0056285E">
      <w:pPr>
        <w:spacing w:line="360" w:lineRule="auto"/>
        <w:ind w:firstLine="1701"/>
        <w:jc w:val="both"/>
        <w:rPr>
          <w:sz w:val="22"/>
        </w:rPr>
      </w:pPr>
      <w:r>
        <w:rPr>
          <w:b/>
          <w:sz w:val="22"/>
        </w:rPr>
        <w:t xml:space="preserve">Art. 1º </w:t>
      </w:r>
      <w:r>
        <w:rPr>
          <w:sz w:val="22"/>
        </w:rPr>
        <w:t>Instaurar SINDICÂNCIA destinada a apurar a regularidade dos pagamentos lançados sob as rubricas Conselheiros, Despesa</w:t>
      </w:r>
      <w:r>
        <w:rPr>
          <w:sz w:val="22"/>
        </w:rPr>
        <w:t>s Miúdas de Pronto Pagamento (suprimento de fundos) e Funcionários, processados em favor de WILLIANS DA SILVA MARKS, no exercício de 2026, à luz da documentação comprobatória exigível e das normas de direito administrativo aplicáveis, com exclusão, do esco</w:t>
      </w:r>
      <w:r>
        <w:rPr>
          <w:sz w:val="22"/>
        </w:rPr>
        <w:t>po desta apuração, dos valores lançados a título de salários e de abono pecuniário de férias.</w:t>
      </w:r>
    </w:p>
    <w:p w:rsidR="00F81F7F" w:rsidRDefault="00F81F7F">
      <w:pPr>
        <w:spacing w:line="360" w:lineRule="auto"/>
        <w:ind w:firstLine="1701"/>
        <w:jc w:val="both"/>
      </w:pPr>
    </w:p>
    <w:p w:rsidR="00266662" w:rsidRDefault="0056285E">
      <w:pPr>
        <w:spacing w:line="360" w:lineRule="auto"/>
        <w:ind w:firstLine="1701"/>
        <w:jc w:val="both"/>
      </w:pPr>
      <w:r>
        <w:rPr>
          <w:b/>
          <w:sz w:val="22"/>
        </w:rPr>
        <w:t xml:space="preserve">Art. 2º </w:t>
      </w:r>
      <w:r>
        <w:rPr>
          <w:sz w:val="22"/>
        </w:rPr>
        <w:t>Designar Comissão de Sindicância, composta pelos seguintes membros, sob a presidência do primeiro:</w:t>
      </w:r>
    </w:p>
    <w:p w:rsidR="00266662" w:rsidRDefault="0056285E">
      <w:pPr>
        <w:spacing w:line="360" w:lineRule="auto"/>
        <w:ind w:firstLine="1701"/>
        <w:jc w:val="both"/>
      </w:pPr>
      <w:r>
        <w:rPr>
          <w:sz w:val="22"/>
        </w:rPr>
        <w:t xml:space="preserve">I - ALEXANDRE BAUMGARTEN (CRO/RS </w:t>
      </w:r>
      <w:r w:rsidR="00F81F7F" w:rsidRPr="00F81F7F">
        <w:rPr>
          <w:sz w:val="22"/>
        </w:rPr>
        <w:t>11148</w:t>
      </w:r>
      <w:r>
        <w:rPr>
          <w:sz w:val="22"/>
        </w:rPr>
        <w:t>) Conselheiro efe</w:t>
      </w:r>
      <w:r>
        <w:rPr>
          <w:sz w:val="22"/>
        </w:rPr>
        <w:t>tivo, Presidente da Comissão;</w:t>
      </w:r>
    </w:p>
    <w:p w:rsidR="00266662" w:rsidRDefault="0056285E">
      <w:pPr>
        <w:spacing w:line="360" w:lineRule="auto"/>
        <w:ind w:firstLine="1701"/>
        <w:jc w:val="both"/>
      </w:pPr>
      <w:r>
        <w:rPr>
          <w:sz w:val="22"/>
        </w:rPr>
        <w:t xml:space="preserve">II </w:t>
      </w:r>
      <w:r w:rsidR="00F81F7F">
        <w:rPr>
          <w:sz w:val="22"/>
        </w:rPr>
        <w:t>–</w:t>
      </w:r>
      <w:r>
        <w:rPr>
          <w:sz w:val="22"/>
        </w:rPr>
        <w:t xml:space="preserve"> </w:t>
      </w:r>
      <w:r w:rsidR="00F81F7F">
        <w:rPr>
          <w:sz w:val="22"/>
        </w:rPr>
        <w:t>JANAINA CORTES GOMES</w:t>
      </w:r>
      <w:r>
        <w:rPr>
          <w:sz w:val="22"/>
        </w:rPr>
        <w:t xml:space="preserve"> (CRO/RS 26520), Conselheira efetivo;</w:t>
      </w:r>
    </w:p>
    <w:p w:rsidR="00266662" w:rsidRDefault="0056285E">
      <w:pPr>
        <w:spacing w:line="360" w:lineRule="auto"/>
        <w:ind w:firstLine="1701"/>
        <w:jc w:val="both"/>
      </w:pPr>
      <w:r>
        <w:rPr>
          <w:sz w:val="22"/>
        </w:rPr>
        <w:t>III - MARIA FERNANDA GIL (CRO/RS 10165), Conselheira suplente;</w:t>
      </w:r>
    </w:p>
    <w:p w:rsidR="00266662" w:rsidRDefault="0056285E">
      <w:pPr>
        <w:spacing w:line="360" w:lineRule="auto"/>
        <w:ind w:firstLine="1701"/>
        <w:jc w:val="both"/>
      </w:pPr>
      <w:r>
        <w:rPr>
          <w:sz w:val="22"/>
        </w:rPr>
        <w:t xml:space="preserve">IV - Assessoria Jurídica – PROJUR, DR. </w:t>
      </w:r>
      <w:r w:rsidR="00F81F7F">
        <w:rPr>
          <w:sz w:val="22"/>
        </w:rPr>
        <w:t>ANDRÉ MACIEL LINS PASTL</w:t>
      </w:r>
      <w:r>
        <w:rPr>
          <w:sz w:val="22"/>
        </w:rPr>
        <w:t xml:space="preserve"> (OAB/RS </w:t>
      </w:r>
      <w:r w:rsidR="00F81F7F">
        <w:rPr>
          <w:sz w:val="22"/>
        </w:rPr>
        <w:t>82.261</w:t>
      </w:r>
      <w:r>
        <w:rPr>
          <w:sz w:val="22"/>
        </w:rPr>
        <w:t>) para apoio técnico-juríd</w:t>
      </w:r>
      <w:r>
        <w:rPr>
          <w:sz w:val="22"/>
        </w:rPr>
        <w:t>ico aos trabalhos.</w:t>
      </w:r>
    </w:p>
    <w:p w:rsidR="00266662" w:rsidRDefault="0056285E">
      <w:pPr>
        <w:spacing w:line="360" w:lineRule="auto"/>
        <w:ind w:firstLine="1701"/>
        <w:jc w:val="both"/>
      </w:pPr>
      <w:r>
        <w:rPr>
          <w:b/>
          <w:sz w:val="22"/>
        </w:rPr>
        <w:t xml:space="preserve">§ 1º </w:t>
      </w:r>
      <w:r>
        <w:rPr>
          <w:sz w:val="22"/>
        </w:rPr>
        <w:t>Os membros ora designados declaram, para os fins dos arts. 18 a 21 da Lei nº 9.784/1999, não possuir impedimento ou suspeição para atuar no feito, por não terem interesse direto no resultado, relação de parentesco, amizade íntima ou</w:t>
      </w:r>
      <w:r>
        <w:rPr>
          <w:sz w:val="22"/>
        </w:rPr>
        <w:t xml:space="preserve"> inimizade notória com o investigado, nem ter atuado anteriormente na apuração dos fatos ora investigados.</w:t>
      </w:r>
    </w:p>
    <w:p w:rsidR="00266662" w:rsidRDefault="0056285E">
      <w:pPr>
        <w:spacing w:line="360" w:lineRule="auto"/>
        <w:ind w:firstLine="1701"/>
        <w:jc w:val="both"/>
      </w:pPr>
      <w:r>
        <w:rPr>
          <w:b/>
          <w:sz w:val="22"/>
        </w:rPr>
        <w:t xml:space="preserve">§ 2º </w:t>
      </w:r>
      <w:r>
        <w:rPr>
          <w:sz w:val="22"/>
        </w:rPr>
        <w:t>A Comissão poderá requisitar, sempre que necessário, apoio técnico-contábil da Gerência Financeira/Contábil do CRO/RS para a apuração dos valores envolvidos.</w:t>
      </w:r>
    </w:p>
    <w:p w:rsidR="00F81F7F" w:rsidRDefault="00F81F7F">
      <w:pPr>
        <w:spacing w:line="360" w:lineRule="auto"/>
        <w:ind w:firstLine="1701"/>
        <w:jc w:val="both"/>
        <w:rPr>
          <w:b/>
          <w:sz w:val="22"/>
        </w:rPr>
      </w:pPr>
    </w:p>
    <w:p w:rsidR="00266662" w:rsidRDefault="0056285E">
      <w:pPr>
        <w:spacing w:line="360" w:lineRule="auto"/>
        <w:ind w:firstLine="1701"/>
        <w:jc w:val="both"/>
      </w:pPr>
      <w:r>
        <w:rPr>
          <w:b/>
          <w:sz w:val="22"/>
        </w:rPr>
        <w:t xml:space="preserve">Art. 3º </w:t>
      </w:r>
      <w:r>
        <w:rPr>
          <w:sz w:val="22"/>
        </w:rPr>
        <w:t>A Comissão terá o prazo de 60 (sessenta) dias, contados da publicação desta Portaria, para</w:t>
      </w:r>
      <w:r>
        <w:rPr>
          <w:sz w:val="22"/>
        </w:rPr>
        <w:t xml:space="preserve"> a conclusão dos trabalhos, prorrogável por igual período mediante requerimento fundamentado dirigido a esta Presidência.</w:t>
      </w:r>
    </w:p>
    <w:p w:rsidR="00266662" w:rsidRDefault="0056285E">
      <w:pPr>
        <w:spacing w:line="360" w:lineRule="auto"/>
        <w:ind w:firstLine="1701"/>
        <w:jc w:val="both"/>
      </w:pPr>
      <w:r>
        <w:rPr>
          <w:b/>
          <w:sz w:val="22"/>
        </w:rPr>
        <w:lastRenderedPageBreak/>
        <w:t xml:space="preserve">Art. 4º </w:t>
      </w:r>
      <w:r>
        <w:rPr>
          <w:sz w:val="22"/>
        </w:rPr>
        <w:t>Ficam assegurados ao investigado o contraditório e a ampla defesa, nos termos do art. 5º, inciso LV, da Constituição Federal e</w:t>
      </w:r>
      <w:r>
        <w:rPr>
          <w:sz w:val="22"/>
        </w:rPr>
        <w:t xml:space="preserve"> do art. 44 da Lei nº 9.784/1999, garantindo-se prazo não inferior a 10 (dez) dias, após a notificação formal e a conclusão da instrução probatória, para apresentação de defesa escrita e de provas.</w:t>
      </w:r>
    </w:p>
    <w:p w:rsidR="00F81F7F" w:rsidRDefault="00F81F7F">
      <w:pPr>
        <w:spacing w:line="360" w:lineRule="auto"/>
        <w:ind w:firstLine="1701"/>
        <w:jc w:val="both"/>
        <w:rPr>
          <w:b/>
          <w:sz w:val="22"/>
        </w:rPr>
      </w:pPr>
    </w:p>
    <w:p w:rsidR="00266662" w:rsidRDefault="0056285E">
      <w:pPr>
        <w:spacing w:line="360" w:lineRule="auto"/>
        <w:ind w:firstLine="1701"/>
        <w:jc w:val="both"/>
      </w:pPr>
      <w:r>
        <w:rPr>
          <w:b/>
          <w:sz w:val="22"/>
        </w:rPr>
        <w:t xml:space="preserve">Art. 5º </w:t>
      </w:r>
      <w:r>
        <w:rPr>
          <w:sz w:val="22"/>
        </w:rPr>
        <w:t>Caberá à Comissão:</w:t>
      </w:r>
    </w:p>
    <w:p w:rsidR="00266662" w:rsidRDefault="0056285E">
      <w:pPr>
        <w:spacing w:line="360" w:lineRule="auto"/>
        <w:ind w:firstLine="1701"/>
        <w:jc w:val="both"/>
      </w:pPr>
      <w:r>
        <w:rPr>
          <w:sz w:val="22"/>
        </w:rPr>
        <w:t>I – notificar formalmente o inv</w:t>
      </w:r>
      <w:r>
        <w:rPr>
          <w:sz w:val="22"/>
        </w:rPr>
        <w:t>estigado, cientificando-o da instauração desta sindicância e do teor dos fatos apurados;</w:t>
      </w:r>
    </w:p>
    <w:p w:rsidR="00266662" w:rsidRDefault="0056285E">
      <w:pPr>
        <w:spacing w:line="360" w:lineRule="auto"/>
        <w:ind w:firstLine="1701"/>
        <w:jc w:val="both"/>
      </w:pPr>
      <w:r>
        <w:rPr>
          <w:sz w:val="22"/>
        </w:rPr>
        <w:t>II – proceder ao levantamento documental necessário, incluindo dados do sistema Implanta, extratos e conciliações bancárias, notas fiscais e demais documentos comproba</w:t>
      </w:r>
      <w:r>
        <w:rPr>
          <w:sz w:val="22"/>
        </w:rPr>
        <w:t>tórios do exercício examinado;</w:t>
      </w:r>
    </w:p>
    <w:p w:rsidR="00266662" w:rsidRDefault="0056285E">
      <w:pPr>
        <w:spacing w:line="360" w:lineRule="auto"/>
        <w:ind w:firstLine="1701"/>
        <w:jc w:val="both"/>
      </w:pPr>
      <w:r>
        <w:rPr>
          <w:sz w:val="22"/>
        </w:rPr>
        <w:t>III – colher, se necessário, depoimentos de servidores e do próprio investigado;</w:t>
      </w:r>
    </w:p>
    <w:p w:rsidR="00266662" w:rsidRDefault="0056285E">
      <w:pPr>
        <w:spacing w:line="360" w:lineRule="auto"/>
        <w:ind w:firstLine="1701"/>
        <w:jc w:val="both"/>
      </w:pPr>
      <w:r>
        <w:rPr>
          <w:sz w:val="22"/>
        </w:rPr>
        <w:t>IV – realizar diligências complementares, inclusive perícia contábil, caso o exija a apuração;</w:t>
      </w:r>
    </w:p>
    <w:p w:rsidR="00266662" w:rsidRDefault="0056285E">
      <w:pPr>
        <w:spacing w:line="360" w:lineRule="auto"/>
        <w:ind w:firstLine="1701"/>
        <w:jc w:val="both"/>
      </w:pPr>
      <w:r>
        <w:rPr>
          <w:sz w:val="22"/>
        </w:rPr>
        <w:t>V – confirmar a natureza de cada pagamento lançad</w:t>
      </w:r>
      <w:r>
        <w:rPr>
          <w:sz w:val="22"/>
        </w:rPr>
        <w:t>o em favor do investigado, segregando o que corresponde a verba sujeita a prestação de contas do que corresponde a verba remuneratória regular;</w:t>
      </w:r>
    </w:p>
    <w:p w:rsidR="00266662" w:rsidRDefault="0056285E">
      <w:pPr>
        <w:spacing w:line="360" w:lineRule="auto"/>
        <w:ind w:firstLine="1701"/>
        <w:jc w:val="both"/>
      </w:pPr>
      <w:r>
        <w:rPr>
          <w:sz w:val="22"/>
        </w:rPr>
        <w:t>VI – ao final da instrução, elaborar relatório conclusivo, fundamentado, com histórico dos fatos, provas colhida</w:t>
      </w:r>
      <w:r>
        <w:rPr>
          <w:sz w:val="22"/>
        </w:rPr>
        <w:t>s, defesa apresentada e conclusão motivada quanto à existência ou não de dano ao erário, indicando os valores eventualmente apurados.</w:t>
      </w:r>
    </w:p>
    <w:p w:rsidR="00F81F7F" w:rsidRDefault="00F81F7F">
      <w:pPr>
        <w:spacing w:line="360" w:lineRule="auto"/>
        <w:ind w:firstLine="1701"/>
        <w:jc w:val="both"/>
        <w:rPr>
          <w:b/>
          <w:sz w:val="22"/>
        </w:rPr>
      </w:pPr>
    </w:p>
    <w:p w:rsidR="00266662" w:rsidRDefault="0056285E">
      <w:pPr>
        <w:spacing w:line="360" w:lineRule="auto"/>
        <w:ind w:firstLine="1701"/>
        <w:jc w:val="both"/>
      </w:pPr>
      <w:r>
        <w:rPr>
          <w:b/>
          <w:sz w:val="22"/>
        </w:rPr>
        <w:t xml:space="preserve">Art. 6º </w:t>
      </w:r>
      <w:r>
        <w:rPr>
          <w:sz w:val="22"/>
        </w:rPr>
        <w:t xml:space="preserve">O relatório conclusivo da Comissão será submetido à apreciação do Plenário do CRO/RS, ao qual competirá deliberar </w:t>
      </w:r>
      <w:r>
        <w:rPr>
          <w:sz w:val="22"/>
        </w:rPr>
        <w:t>sobre o arquivamento do feito, a instauração de processo de ressarcimento ao erário ou a comunicação a outros órgãos, nos termos do art. 8º, inciso VI, do Regimento Interno do CFO (Resolução CFO-34/2002), aplicável ao CRO/RS.</w:t>
      </w:r>
    </w:p>
    <w:p w:rsidR="00F81F7F" w:rsidRDefault="00F81F7F">
      <w:pPr>
        <w:spacing w:line="360" w:lineRule="auto"/>
        <w:ind w:firstLine="1701"/>
        <w:jc w:val="both"/>
        <w:rPr>
          <w:b/>
          <w:sz w:val="22"/>
        </w:rPr>
      </w:pPr>
    </w:p>
    <w:p w:rsidR="00266662" w:rsidRDefault="0056285E">
      <w:pPr>
        <w:spacing w:line="360" w:lineRule="auto"/>
        <w:ind w:firstLine="1701"/>
        <w:jc w:val="both"/>
      </w:pPr>
      <w:r>
        <w:rPr>
          <w:b/>
          <w:sz w:val="22"/>
        </w:rPr>
        <w:t xml:space="preserve">Art. 7º </w:t>
      </w:r>
      <w:r>
        <w:rPr>
          <w:sz w:val="22"/>
        </w:rPr>
        <w:t>Confirmada a existênci</w:t>
      </w:r>
      <w:r>
        <w:rPr>
          <w:sz w:val="22"/>
        </w:rPr>
        <w:t>a de irregularidade e de dano ao erário, adotar-se-ão, sem prejuízo de outras providências cabíveis:</w:t>
      </w:r>
    </w:p>
    <w:p w:rsidR="00266662" w:rsidRDefault="0056285E">
      <w:pPr>
        <w:spacing w:line="360" w:lineRule="auto"/>
        <w:ind w:firstLine="1701"/>
        <w:jc w:val="both"/>
      </w:pPr>
      <w:r>
        <w:rPr>
          <w:sz w:val="22"/>
        </w:rPr>
        <w:t>I – a instauração de processo de ressarcimento ao erário, ação imprescritível nos termos do art. 37, § 5º, da Constituição Federal;</w:t>
      </w:r>
    </w:p>
    <w:p w:rsidR="00266662" w:rsidRDefault="0056285E">
      <w:pPr>
        <w:spacing w:line="360" w:lineRule="auto"/>
        <w:ind w:firstLine="1701"/>
        <w:jc w:val="both"/>
      </w:pPr>
      <w:r>
        <w:rPr>
          <w:sz w:val="22"/>
        </w:rPr>
        <w:lastRenderedPageBreak/>
        <w:t>II – a representação ao</w:t>
      </w:r>
      <w:r>
        <w:rPr>
          <w:sz w:val="22"/>
        </w:rPr>
        <w:t xml:space="preserve"> Ministério Público Federal, para apuração de eventual improbidade administrativa, nos termos da Lei nº 8.429/1992, e de ilícito penal, se cabível;</w:t>
      </w:r>
    </w:p>
    <w:p w:rsidR="00266662" w:rsidRDefault="0056285E">
      <w:pPr>
        <w:spacing w:line="360" w:lineRule="auto"/>
        <w:ind w:firstLine="1701"/>
        <w:jc w:val="both"/>
      </w:pPr>
      <w:r>
        <w:rPr>
          <w:sz w:val="22"/>
        </w:rPr>
        <w:t>III – a comunicação ao Conselho Federal de Odontologia, nos termos do art. 8º, inciso XIV, do Regimento Inte</w:t>
      </w:r>
      <w:r>
        <w:rPr>
          <w:sz w:val="22"/>
        </w:rPr>
        <w:t>rno do CFO, e a inclusão dos fatos apurados nos autos de prestação de contas remetidos ao Tribunal de Contas da União, nos termos da Lei nº 8.443/1992.</w:t>
      </w:r>
    </w:p>
    <w:p w:rsidR="00F81F7F" w:rsidRDefault="00F81F7F">
      <w:pPr>
        <w:spacing w:line="360" w:lineRule="auto"/>
        <w:ind w:firstLine="1701"/>
        <w:jc w:val="both"/>
        <w:rPr>
          <w:b/>
          <w:sz w:val="22"/>
        </w:rPr>
      </w:pPr>
    </w:p>
    <w:p w:rsidR="00266662" w:rsidRDefault="0056285E">
      <w:pPr>
        <w:spacing w:line="360" w:lineRule="auto"/>
        <w:ind w:firstLine="1701"/>
        <w:jc w:val="both"/>
      </w:pPr>
      <w:r>
        <w:rPr>
          <w:b/>
          <w:sz w:val="22"/>
        </w:rPr>
        <w:t xml:space="preserve">Art. 8º </w:t>
      </w:r>
      <w:r>
        <w:rPr>
          <w:sz w:val="22"/>
        </w:rPr>
        <w:t>Fica determinada a preservação integral dos documentos físicos e digitais relacionados aos fatos</w:t>
      </w:r>
      <w:r>
        <w:rPr>
          <w:sz w:val="22"/>
        </w:rPr>
        <w:t xml:space="preserve"> investigados, sendo vedada, até o encerramento da sindicância, qualquer elaboração, impressão, juntada, coleta de assinatura ou recomposição extemporânea de relatórios e documentos, salvo autorização formal desta Presidência.</w:t>
      </w:r>
    </w:p>
    <w:p w:rsidR="00F81F7F" w:rsidRDefault="00F81F7F">
      <w:pPr>
        <w:spacing w:line="360" w:lineRule="auto"/>
        <w:ind w:firstLine="1701"/>
        <w:jc w:val="both"/>
        <w:rPr>
          <w:b/>
          <w:sz w:val="22"/>
        </w:rPr>
      </w:pPr>
    </w:p>
    <w:p w:rsidR="00266662" w:rsidRDefault="0056285E">
      <w:pPr>
        <w:spacing w:line="360" w:lineRule="auto"/>
        <w:ind w:firstLine="1701"/>
        <w:jc w:val="both"/>
      </w:pPr>
      <w:r>
        <w:rPr>
          <w:b/>
          <w:sz w:val="22"/>
        </w:rPr>
        <w:t xml:space="preserve">Art. 9º </w:t>
      </w:r>
      <w:r>
        <w:rPr>
          <w:sz w:val="22"/>
        </w:rPr>
        <w:t>Esta Portaria entra e</w:t>
      </w:r>
      <w:r>
        <w:rPr>
          <w:sz w:val="22"/>
        </w:rPr>
        <w:t>m vigor na data de sua publicação, devendo ser divulgada no sítio eletrônico institucional do CRO/RS, nos termos do art. 2º, parágrafo único, inciso V, da Lei nº 9.784/1999.</w:t>
      </w:r>
    </w:p>
    <w:p w:rsidR="00266662" w:rsidRDefault="00266662"/>
    <w:p w:rsidR="00266662" w:rsidRDefault="0056285E">
      <w:pPr>
        <w:spacing w:line="360" w:lineRule="auto"/>
        <w:jc w:val="center"/>
      </w:pPr>
      <w:r>
        <w:rPr>
          <w:sz w:val="22"/>
        </w:rPr>
        <w:t>Porto Alegre, 0</w:t>
      </w:r>
      <w:r w:rsidR="00F81F7F">
        <w:rPr>
          <w:sz w:val="22"/>
        </w:rPr>
        <w:t>8</w:t>
      </w:r>
      <w:bookmarkStart w:id="0" w:name="_GoBack"/>
      <w:bookmarkEnd w:id="0"/>
      <w:r>
        <w:rPr>
          <w:sz w:val="22"/>
        </w:rPr>
        <w:t xml:space="preserve"> de setembro de 2026.</w:t>
      </w:r>
    </w:p>
    <w:p w:rsidR="00266662" w:rsidRDefault="00266662"/>
    <w:p w:rsidR="00266662" w:rsidRDefault="00266662"/>
    <w:p w:rsidR="00266662" w:rsidRDefault="0056285E">
      <w:pPr>
        <w:spacing w:line="360" w:lineRule="auto"/>
        <w:jc w:val="center"/>
      </w:pPr>
      <w:r>
        <w:rPr>
          <w:b/>
          <w:sz w:val="22"/>
        </w:rPr>
        <w:t>JANAINA CORTES GOMES</w:t>
      </w:r>
    </w:p>
    <w:p w:rsidR="00266662" w:rsidRDefault="0056285E">
      <w:pPr>
        <w:spacing w:line="360" w:lineRule="auto"/>
        <w:jc w:val="center"/>
      </w:pPr>
      <w:r>
        <w:rPr>
          <w:sz w:val="22"/>
        </w:rPr>
        <w:t>Presidente do CRO/RS</w:t>
      </w:r>
    </w:p>
    <w:sectPr w:rsidR="00266662">
      <w:headerReference w:type="default" r:id="rId7"/>
      <w:footerReference w:type="default" r:id="rId8"/>
      <w:pgSz w:w="12240" w:h="15840"/>
      <w:pgMar w:top="1985" w:right="1440" w:bottom="1418" w:left="1701" w:header="360" w:footer="11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6285E" w:rsidRDefault="0056285E">
      <w:r>
        <w:separator/>
      </w:r>
    </w:p>
  </w:endnote>
  <w:endnote w:type="continuationSeparator" w:id="0">
    <w:p w:rsidR="0056285E" w:rsidRDefault="005628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1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ranklin Gothic Book">
    <w:charset w:val="00"/>
    <w:family w:val="swiss"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Arial Unicode MS"/>
    <w:charset w:val="00"/>
    <w:family w:val="auto"/>
    <w:pitch w:val="variable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;宋体">
    <w:panose1 w:val="00000000000000000000"/>
    <w:charset w:val="8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angal;Courier New">
    <w:panose1 w:val="00000000000000000000"/>
    <w:charset w:val="00"/>
    <w:family w:val="roman"/>
    <w:notTrueType/>
    <w:pitch w:val="default"/>
  </w:font>
  <w:font w:name="Liberation Sans;Arial">
    <w:panose1 w:val="00000000000000000000"/>
    <w:charset w:val="00"/>
    <w:family w:val="roman"/>
    <w:notTrueType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82F14" w:rsidRDefault="00482F14">
    <w:pPr>
      <w:pBdr>
        <w:top w:val="single" w:sz="4" w:space="1" w:color="C0C0C0"/>
      </w:pBdr>
      <w:tabs>
        <w:tab w:val="center" w:pos="4252"/>
        <w:tab w:val="right" w:pos="8504"/>
      </w:tabs>
      <w:jc w:val="center"/>
    </w:pPr>
    <w:r>
      <w:rPr>
        <w:sz w:val="18"/>
        <w:szCs w:val="18"/>
      </w:rPr>
      <w:t>Rua Vasco da Gama, 720 – Fone: 3026-1700 – CEP 90420-110 – Porto Alegre –RS</w:t>
    </w:r>
  </w:p>
  <w:p w:rsidR="00482F14" w:rsidRDefault="00482F14">
    <w:pPr>
      <w:tabs>
        <w:tab w:val="center" w:pos="4252"/>
        <w:tab w:val="right" w:pos="8504"/>
      </w:tabs>
      <w:jc w:val="center"/>
      <w:rPr>
        <w:sz w:val="18"/>
        <w:szCs w:val="18"/>
      </w:rPr>
    </w:pPr>
    <w:r>
      <w:rPr>
        <w:sz w:val="18"/>
        <w:szCs w:val="18"/>
      </w:rPr>
      <w:t>Site: www.crors.org.br             E-mail: crors@crors.org.br</w:t>
    </w:r>
  </w:p>
  <w:p w:rsidR="00482F14" w:rsidRDefault="00482F14">
    <w:pPr>
      <w:pStyle w:val="Rodap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6285E" w:rsidRDefault="0056285E">
      <w:r>
        <w:separator/>
      </w:r>
    </w:p>
  </w:footnote>
  <w:footnote w:type="continuationSeparator" w:id="0">
    <w:p w:rsidR="0056285E" w:rsidRDefault="0056285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82F14" w:rsidRDefault="00482F14">
    <w:pPr>
      <w:pStyle w:val="Cabealho"/>
      <w:jc w:val="center"/>
      <w:rPr>
        <w:lang w:val="en-US" w:eastAsia="en-US"/>
      </w:rPr>
    </w:pPr>
    <w:r>
      <w:rPr>
        <w:noProof/>
        <w:lang w:eastAsia="pt-BR"/>
      </w:rPr>
      <w:drawing>
        <wp:inline distT="0" distB="0" distL="0" distR="0">
          <wp:extent cx="714375" cy="714375"/>
          <wp:effectExtent l="0" t="0" r="9525" b="9525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5" t="-5" r="-5" b="-5"/>
                  <a:stretch>
                    <a:fillRect/>
                  </a:stretch>
                </pic:blipFill>
                <pic:spPr bwMode="auto">
                  <a:xfrm>
                    <a:off x="0" y="0"/>
                    <a:ext cx="714375" cy="714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82F14" w:rsidRDefault="00482F14">
    <w:pPr>
      <w:jc w:val="center"/>
      <w:rPr>
        <w:rFonts w:ascii="Tahoma" w:hAnsi="Tahoma" w:cs="Tahoma"/>
        <w:b/>
        <w:i/>
      </w:rPr>
    </w:pPr>
    <w:r>
      <w:rPr>
        <w:rFonts w:ascii="Tahoma" w:hAnsi="Tahoma" w:cs="Tahoma"/>
        <w:b/>
        <w:i/>
      </w:rPr>
      <w:t>Conselho Regional de Odontologia do Rio Grande do Sul</w:t>
    </w:r>
  </w:p>
  <w:p w:rsidR="00482F14" w:rsidRDefault="00482F14">
    <w:pPr>
      <w:pStyle w:val="Cabealho"/>
    </w:pPr>
  </w:p>
  <w:p w:rsidR="00482F14" w:rsidRDefault="00482F14">
    <w:pPr>
      <w:pStyle w:val="Cabealho"/>
      <w:rPr>
        <w:szCs w:val="2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7B1587"/>
    <w:multiLevelType w:val="multilevel"/>
    <w:tmpl w:val="13200FA0"/>
    <w:lvl w:ilvl="0">
      <w:start w:val="1"/>
      <w:numFmt w:val="decimal"/>
      <w:pStyle w:val="Item"/>
      <w:lvlText w:val="%1."/>
      <w:lvlJc w:val="left"/>
      <w:pPr>
        <w:tabs>
          <w:tab w:val="num" w:pos="3135"/>
        </w:tabs>
        <w:ind w:left="3135" w:hanging="1695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BE731C7"/>
    <w:multiLevelType w:val="hybridMultilevel"/>
    <w:tmpl w:val="326842B4"/>
    <w:lvl w:ilvl="0" w:tplc="215C30BE">
      <w:start w:val="1"/>
      <w:numFmt w:val="lowerLetter"/>
      <w:lvlText w:val="%1)"/>
      <w:lvlJc w:val="left"/>
      <w:pPr>
        <w:ind w:left="2076" w:hanging="37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781" w:hanging="360"/>
      </w:pPr>
    </w:lvl>
    <w:lvl w:ilvl="2" w:tplc="0416001B" w:tentative="1">
      <w:start w:val="1"/>
      <w:numFmt w:val="lowerRoman"/>
      <w:lvlText w:val="%3."/>
      <w:lvlJc w:val="right"/>
      <w:pPr>
        <w:ind w:left="3501" w:hanging="180"/>
      </w:pPr>
    </w:lvl>
    <w:lvl w:ilvl="3" w:tplc="0416000F" w:tentative="1">
      <w:start w:val="1"/>
      <w:numFmt w:val="decimal"/>
      <w:lvlText w:val="%4."/>
      <w:lvlJc w:val="left"/>
      <w:pPr>
        <w:ind w:left="4221" w:hanging="360"/>
      </w:pPr>
    </w:lvl>
    <w:lvl w:ilvl="4" w:tplc="04160019" w:tentative="1">
      <w:start w:val="1"/>
      <w:numFmt w:val="lowerLetter"/>
      <w:lvlText w:val="%5."/>
      <w:lvlJc w:val="left"/>
      <w:pPr>
        <w:ind w:left="4941" w:hanging="360"/>
      </w:pPr>
    </w:lvl>
    <w:lvl w:ilvl="5" w:tplc="0416001B" w:tentative="1">
      <w:start w:val="1"/>
      <w:numFmt w:val="lowerRoman"/>
      <w:lvlText w:val="%6."/>
      <w:lvlJc w:val="right"/>
      <w:pPr>
        <w:ind w:left="5661" w:hanging="180"/>
      </w:pPr>
    </w:lvl>
    <w:lvl w:ilvl="6" w:tplc="0416000F" w:tentative="1">
      <w:start w:val="1"/>
      <w:numFmt w:val="decimal"/>
      <w:lvlText w:val="%7."/>
      <w:lvlJc w:val="left"/>
      <w:pPr>
        <w:ind w:left="6381" w:hanging="360"/>
      </w:pPr>
    </w:lvl>
    <w:lvl w:ilvl="7" w:tplc="04160019" w:tentative="1">
      <w:start w:val="1"/>
      <w:numFmt w:val="lowerLetter"/>
      <w:lvlText w:val="%8."/>
      <w:lvlJc w:val="left"/>
      <w:pPr>
        <w:ind w:left="7101" w:hanging="360"/>
      </w:pPr>
    </w:lvl>
    <w:lvl w:ilvl="8" w:tplc="0416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2" w15:restartNumberingAfterBreak="0">
    <w:nsid w:val="5A8272BC"/>
    <w:multiLevelType w:val="multilevel"/>
    <w:tmpl w:val="CB20FDC0"/>
    <w:lvl w:ilvl="0">
      <w:start w:val="1"/>
      <w:numFmt w:val="lowerLetter"/>
      <w:lvlText w:val="%1)"/>
      <w:lvlJc w:val="left"/>
      <w:pPr>
        <w:tabs>
          <w:tab w:val="num" w:pos="0"/>
        </w:tabs>
        <w:ind w:left="219" w:hanging="293"/>
      </w:pPr>
      <w:rPr>
        <w:rFonts w:ascii="Tahoma" w:eastAsia="Tahoma" w:hAnsi="Tahoma" w:cs="Tahoma"/>
        <w:b w:val="0"/>
        <w:bCs w:val="0"/>
        <w:i w:val="0"/>
        <w:iCs w:val="0"/>
        <w:spacing w:val="-1"/>
        <w:w w:val="100"/>
        <w:sz w:val="23"/>
        <w:szCs w:val="23"/>
        <w:lang w:val="pt-PT" w:bidi="ar-S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5E0706AB"/>
    <w:multiLevelType w:val="multilevel"/>
    <w:tmpl w:val="02FCC0C0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Ttulo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Ttulo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1D48"/>
    <w:rsid w:val="0004565C"/>
    <w:rsid w:val="0005314C"/>
    <w:rsid w:val="000F5E61"/>
    <w:rsid w:val="00111AF5"/>
    <w:rsid w:val="001E193B"/>
    <w:rsid w:val="00225849"/>
    <w:rsid w:val="00266662"/>
    <w:rsid w:val="002C3792"/>
    <w:rsid w:val="002C4B2D"/>
    <w:rsid w:val="003002D9"/>
    <w:rsid w:val="00352214"/>
    <w:rsid w:val="003B6B13"/>
    <w:rsid w:val="00482F14"/>
    <w:rsid w:val="00511A6D"/>
    <w:rsid w:val="0056285E"/>
    <w:rsid w:val="005B659F"/>
    <w:rsid w:val="005E419E"/>
    <w:rsid w:val="007237CC"/>
    <w:rsid w:val="00972F71"/>
    <w:rsid w:val="009A7BBC"/>
    <w:rsid w:val="009E59BE"/>
    <w:rsid w:val="00A11D48"/>
    <w:rsid w:val="00A7490B"/>
    <w:rsid w:val="00A948AE"/>
    <w:rsid w:val="00BB1947"/>
    <w:rsid w:val="00D138BE"/>
    <w:rsid w:val="00D80EAD"/>
    <w:rsid w:val="00DE4065"/>
    <w:rsid w:val="00DE6877"/>
    <w:rsid w:val="00F81F7F"/>
    <w:rsid w:val="00FD7622"/>
    <w:rsid w:val="00FE39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FE89C2D-402E-45CD-8D34-3DCC05CA2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Noto Serif CJK SC" w:hAnsi="Liberation Serif" w:cs="FreeSans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uppressAutoHyphens/>
    </w:pPr>
    <w:rPr>
      <w:rFonts w:ascii="Arial" w:eastAsia="Times New Roman" w:hAnsi="Arial" w:cs="Arial"/>
      <w:sz w:val="24"/>
      <w:szCs w:val="24"/>
      <w:lang w:eastAsia="zh-CN"/>
    </w:rPr>
  </w:style>
  <w:style w:type="paragraph" w:styleId="Ttulo1">
    <w:name w:val="heading 1"/>
    <w:basedOn w:val="Normal"/>
    <w:next w:val="Normal"/>
    <w:qFormat/>
    <w:pPr>
      <w:keepNext/>
      <w:numPr>
        <w:numId w:val="1"/>
      </w:numPr>
      <w:ind w:firstLine="1680"/>
      <w:jc w:val="both"/>
      <w:outlineLvl w:val="0"/>
    </w:pPr>
    <w:rPr>
      <w:rFonts w:ascii="Times New Roman" w:hAnsi="Times New Roman" w:cs="Times New Roman"/>
      <w:b/>
      <w:bCs/>
    </w:rPr>
  </w:style>
  <w:style w:type="paragraph" w:styleId="Ttulo2">
    <w:name w:val="heading 2"/>
    <w:basedOn w:val="Normal"/>
    <w:next w:val="Normal"/>
    <w:qFormat/>
    <w:pPr>
      <w:keepNext/>
      <w:numPr>
        <w:ilvl w:val="1"/>
        <w:numId w:val="1"/>
      </w:numPr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qFormat/>
    <w:pPr>
      <w:keepNext/>
      <w:numPr>
        <w:ilvl w:val="2"/>
        <w:numId w:val="1"/>
      </w:numPr>
      <w:spacing w:before="240" w:after="60"/>
      <w:outlineLvl w:val="2"/>
    </w:pPr>
    <w:rPr>
      <w:rFonts w:eastAsia="Tahoma"/>
      <w:b/>
      <w:bCs/>
      <w:sz w:val="26"/>
      <w:szCs w:val="26"/>
    </w:rPr>
  </w:style>
  <w:style w:type="paragraph" w:styleId="Ttulo4">
    <w:name w:val="heading 4"/>
    <w:basedOn w:val="Normal"/>
    <w:next w:val="Normal"/>
    <w:qFormat/>
    <w:pPr>
      <w:keepNext/>
      <w:numPr>
        <w:ilvl w:val="3"/>
        <w:numId w:val="1"/>
      </w:numPr>
      <w:spacing w:before="240" w:after="60"/>
      <w:outlineLvl w:val="3"/>
    </w:pPr>
    <w:rPr>
      <w:rFonts w:ascii="Times New Roman" w:hAnsi="Times New Roman" w:cs="Times New Roman"/>
      <w:b/>
      <w:bCs/>
      <w:sz w:val="28"/>
      <w:szCs w:val="28"/>
    </w:rPr>
  </w:style>
  <w:style w:type="paragraph" w:styleId="Ttulo8">
    <w:name w:val="heading 8"/>
    <w:basedOn w:val="Normal"/>
    <w:next w:val="Normal"/>
    <w:qFormat/>
    <w:pPr>
      <w:numPr>
        <w:ilvl w:val="7"/>
        <w:numId w:val="1"/>
      </w:numPr>
      <w:spacing w:before="240" w:after="60"/>
      <w:outlineLvl w:val="7"/>
    </w:pPr>
    <w:rPr>
      <w:rFonts w:ascii="Calibri" w:hAnsi="Calibri" w:cs="Calibri"/>
      <w:i/>
      <w:iCs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WW8Num2z0">
    <w:name w:val="WW8Num2z0"/>
    <w:qFormat/>
    <w:rPr>
      <w:b/>
    </w:rPr>
  </w:style>
  <w:style w:type="character" w:customStyle="1" w:styleId="WW8Num3z0">
    <w:name w:val="WW8Num3z0"/>
    <w:qFormat/>
    <w:rPr>
      <w:b/>
    </w:rPr>
  </w:style>
  <w:style w:type="character" w:customStyle="1" w:styleId="WW8Num4z0">
    <w:name w:val="WW8Num4z0"/>
    <w:qFormat/>
    <w:rPr>
      <w:b/>
    </w:rPr>
  </w:style>
  <w:style w:type="character" w:customStyle="1" w:styleId="WW8Num5z1">
    <w:name w:val="WW8Num5z1"/>
    <w:qFormat/>
    <w:rPr>
      <w:rFonts w:ascii="Franklin Gothic Book" w:eastAsia="Times New Roman" w:hAnsi="Franklin Gothic Book" w:cs="Franklin Gothic Book"/>
      <w:sz w:val="18"/>
      <w:szCs w:val="18"/>
      <w:lang w:eastAsia="zh-CN"/>
    </w:rPr>
  </w:style>
  <w:style w:type="character" w:customStyle="1" w:styleId="WW8Num6z0">
    <w:name w:val="WW8Num6z0"/>
    <w:qFormat/>
    <w:rPr>
      <w:rFonts w:ascii="Symbol" w:hAnsi="Symbol" w:cs="OpenSymbol"/>
      <w:color w:val="000000"/>
      <w:sz w:val="18"/>
      <w:szCs w:val="18"/>
      <w:shd w:val="clear" w:color="auto" w:fill="auto"/>
      <w:lang w:val="en-US"/>
    </w:rPr>
  </w:style>
  <w:style w:type="character" w:customStyle="1" w:styleId="WW8Num6z1">
    <w:name w:val="WW8Num6z1"/>
    <w:qFormat/>
    <w:rPr>
      <w:rFonts w:ascii="OpenSymbol" w:hAnsi="OpenSymbol" w:cs="OpenSymbol"/>
    </w:rPr>
  </w:style>
  <w:style w:type="character" w:customStyle="1" w:styleId="WW8Num7z0">
    <w:name w:val="WW8Num7z0"/>
    <w:qFormat/>
    <w:rPr>
      <w:rFonts w:ascii="Symbol" w:hAnsi="Symbol" w:cs="OpenSymbol"/>
      <w:color w:val="000000"/>
      <w:sz w:val="18"/>
      <w:szCs w:val="18"/>
      <w:shd w:val="clear" w:color="auto" w:fill="auto"/>
    </w:rPr>
  </w:style>
  <w:style w:type="character" w:customStyle="1" w:styleId="WW8Num7z1">
    <w:name w:val="WW8Num7z1"/>
    <w:qFormat/>
    <w:rPr>
      <w:rFonts w:ascii="OpenSymbol" w:hAnsi="OpenSymbol" w:cs="OpenSymbol"/>
    </w:rPr>
  </w:style>
  <w:style w:type="character" w:customStyle="1" w:styleId="WW8Num8z0">
    <w:name w:val="WW8Num8z0"/>
    <w:qFormat/>
    <w:rPr>
      <w:rFonts w:ascii="Symbol" w:hAnsi="Symbol" w:cs="OpenSymbol"/>
      <w:color w:val="000000"/>
      <w:sz w:val="18"/>
      <w:szCs w:val="18"/>
      <w:shd w:val="clear" w:color="auto" w:fill="auto"/>
      <w:lang w:val="en-US"/>
    </w:rPr>
  </w:style>
  <w:style w:type="character" w:customStyle="1" w:styleId="WW8Num8z1">
    <w:name w:val="WW8Num8z1"/>
    <w:qFormat/>
    <w:rPr>
      <w:rFonts w:ascii="OpenSymbol" w:hAnsi="OpenSymbol" w:cs="OpenSymbol"/>
    </w:rPr>
  </w:style>
  <w:style w:type="character" w:customStyle="1" w:styleId="WW8Num9z0">
    <w:name w:val="WW8Num9z0"/>
    <w:qFormat/>
    <w:rPr>
      <w:rFonts w:ascii="Symbol" w:hAnsi="Symbol" w:cs="OpenSymbol"/>
    </w:rPr>
  </w:style>
  <w:style w:type="character" w:customStyle="1" w:styleId="WW8Num9z1">
    <w:name w:val="WW8Num9z1"/>
    <w:qFormat/>
    <w:rPr>
      <w:rFonts w:ascii="OpenSymbol" w:hAnsi="OpenSymbol" w:cs="OpenSymbol"/>
    </w:rPr>
  </w:style>
  <w:style w:type="character" w:customStyle="1" w:styleId="WW8Num10z0">
    <w:name w:val="WW8Num10z0"/>
    <w:qFormat/>
    <w:rPr>
      <w:rFonts w:ascii="Symbol" w:hAnsi="Symbol" w:cs="OpenSymbol"/>
      <w:color w:val="000000"/>
      <w:sz w:val="18"/>
      <w:szCs w:val="18"/>
      <w:shd w:val="clear" w:color="auto" w:fill="auto"/>
      <w:lang w:val="en-US"/>
    </w:rPr>
  </w:style>
  <w:style w:type="character" w:customStyle="1" w:styleId="WW8Num10z1">
    <w:name w:val="WW8Num10z1"/>
    <w:qFormat/>
    <w:rPr>
      <w:rFonts w:ascii="OpenSymbol" w:hAnsi="OpenSymbol" w:cs="OpenSymbol"/>
    </w:rPr>
  </w:style>
  <w:style w:type="character" w:customStyle="1" w:styleId="WW8Num11z0">
    <w:name w:val="WW8Num11z0"/>
    <w:qFormat/>
    <w:rPr>
      <w:rFonts w:ascii="Symbol" w:hAnsi="Symbol" w:cs="OpenSymbol"/>
    </w:rPr>
  </w:style>
  <w:style w:type="character" w:customStyle="1" w:styleId="WW8Num11z1">
    <w:name w:val="WW8Num11z1"/>
    <w:qFormat/>
    <w:rPr>
      <w:rFonts w:ascii="OpenSymbol" w:hAnsi="OpenSymbol" w:cs="OpenSymbol"/>
    </w:rPr>
  </w:style>
  <w:style w:type="character" w:customStyle="1" w:styleId="WW8Num12z0">
    <w:name w:val="WW8Num12z0"/>
    <w:qFormat/>
    <w:rPr>
      <w:b/>
      <w:bCs/>
    </w:rPr>
  </w:style>
  <w:style w:type="character" w:customStyle="1" w:styleId="WW8Num13z0">
    <w:name w:val="WW8Num13z0"/>
    <w:qFormat/>
    <w:rPr>
      <w:rFonts w:ascii="Wingdings" w:hAnsi="Wingdings" w:cs="Wingdings"/>
      <w:b/>
      <w:bCs/>
      <w:i w:val="0"/>
      <w:iCs w:val="0"/>
      <w:color w:val="000000"/>
    </w:rPr>
  </w:style>
  <w:style w:type="character" w:customStyle="1" w:styleId="WW8Num15z0">
    <w:name w:val="WW8Num15z0"/>
    <w:qFormat/>
    <w:rPr>
      <w:b/>
      <w:sz w:val="24"/>
    </w:rPr>
  </w:style>
  <w:style w:type="character" w:customStyle="1" w:styleId="WW8Num15z1">
    <w:name w:val="WW8Num15z1"/>
    <w:qFormat/>
  </w:style>
  <w:style w:type="character" w:customStyle="1" w:styleId="WW8Num16z0">
    <w:name w:val="WW8Num16z0"/>
    <w:qFormat/>
    <w:rPr>
      <w:rFonts w:ascii="Wingdings" w:hAnsi="Wingdings" w:cs="Wingdings"/>
    </w:rPr>
  </w:style>
  <w:style w:type="character" w:customStyle="1" w:styleId="WW8Num17z0">
    <w:name w:val="WW8Num17z0"/>
    <w:qFormat/>
  </w:style>
  <w:style w:type="character" w:customStyle="1" w:styleId="WW8Num17z1">
    <w:name w:val="WW8Num17z1"/>
    <w:qFormat/>
    <w:rPr>
      <w:b/>
    </w:rPr>
  </w:style>
  <w:style w:type="character" w:customStyle="1" w:styleId="WW8Num18z2">
    <w:name w:val="WW8Num18z2"/>
    <w:qFormat/>
    <w:rPr>
      <w:b/>
      <w:bCs w:val="0"/>
    </w:rPr>
  </w:style>
  <w:style w:type="character" w:customStyle="1" w:styleId="WW8Num19z0">
    <w:name w:val="WW8Num19z0"/>
    <w:qFormat/>
  </w:style>
  <w:style w:type="character" w:customStyle="1" w:styleId="WW8Num20z0">
    <w:name w:val="WW8Num20z0"/>
    <w:qFormat/>
  </w:style>
  <w:style w:type="character" w:customStyle="1" w:styleId="WW8Num21z0">
    <w:name w:val="WW8Num21z0"/>
    <w:qFormat/>
  </w:style>
  <w:style w:type="character" w:customStyle="1" w:styleId="WW8Num22z0">
    <w:name w:val="WW8Num22z0"/>
    <w:qFormat/>
  </w:style>
  <w:style w:type="character" w:customStyle="1" w:styleId="WW8Num23z0">
    <w:name w:val="WW8Num23z0"/>
    <w:qFormat/>
  </w:style>
  <w:style w:type="character" w:customStyle="1" w:styleId="WW8Num24z0">
    <w:name w:val="WW8Num24z0"/>
    <w:qFormat/>
  </w:style>
  <w:style w:type="character" w:customStyle="1" w:styleId="WW8Num25z0">
    <w:name w:val="WW8Num25z0"/>
    <w:qFormat/>
  </w:style>
  <w:style w:type="character" w:customStyle="1" w:styleId="WW8Num26z0">
    <w:name w:val="WW8Num26z0"/>
    <w:qFormat/>
  </w:style>
  <w:style w:type="character" w:customStyle="1" w:styleId="WW8Num27z0">
    <w:name w:val="WW8Num27z0"/>
    <w:qFormat/>
  </w:style>
  <w:style w:type="character" w:customStyle="1" w:styleId="WW8Num28z0">
    <w:name w:val="WW8Num28z0"/>
    <w:qFormat/>
    <w:rPr>
      <w:b/>
    </w:rPr>
  </w:style>
  <w:style w:type="character" w:customStyle="1" w:styleId="WW8Num29z0">
    <w:name w:val="WW8Num29z0"/>
    <w:qFormat/>
  </w:style>
  <w:style w:type="character" w:customStyle="1" w:styleId="WW8Num30z0">
    <w:name w:val="WW8Num30z0"/>
    <w:qFormat/>
    <w:rPr>
      <w:b/>
    </w:rPr>
  </w:style>
  <w:style w:type="character" w:customStyle="1" w:styleId="WW8Num31z0">
    <w:name w:val="WW8Num31z0"/>
    <w:qFormat/>
  </w:style>
  <w:style w:type="character" w:customStyle="1" w:styleId="WW8Num32z0">
    <w:name w:val="WW8Num32z0"/>
    <w:qFormat/>
  </w:style>
  <w:style w:type="character" w:customStyle="1" w:styleId="WW8Num33z0">
    <w:name w:val="WW8Num33z0"/>
    <w:qFormat/>
    <w:rPr>
      <w:b/>
    </w:rPr>
  </w:style>
  <w:style w:type="character" w:customStyle="1" w:styleId="WW8Num34z0">
    <w:name w:val="WW8Num34z0"/>
    <w:qFormat/>
    <w:rPr>
      <w:rFonts w:ascii="Tahoma" w:eastAsia="Tahoma" w:hAnsi="Tahoma" w:cs="Tahoma"/>
      <w:b w:val="0"/>
      <w:bCs w:val="0"/>
      <w:i w:val="0"/>
      <w:iCs w:val="0"/>
      <w:spacing w:val="-1"/>
      <w:w w:val="100"/>
      <w:sz w:val="23"/>
      <w:szCs w:val="23"/>
      <w:lang w:val="pt-PT" w:bidi="ar-SA"/>
    </w:rPr>
  </w:style>
  <w:style w:type="character" w:customStyle="1" w:styleId="WW8Num34z2">
    <w:name w:val="WW8Num34z2"/>
    <w:qFormat/>
    <w:rPr>
      <w:lang w:val="pt-PT" w:bidi="ar-SA"/>
    </w:rPr>
  </w:style>
  <w:style w:type="character" w:customStyle="1" w:styleId="WW8Num36z0">
    <w:name w:val="WW8Num36z0"/>
    <w:qFormat/>
  </w:style>
  <w:style w:type="character" w:customStyle="1" w:styleId="WW8Num36z1">
    <w:name w:val="WW8Num36z1"/>
    <w:qFormat/>
    <w:rPr>
      <w:b/>
    </w:rPr>
  </w:style>
  <w:style w:type="character" w:customStyle="1" w:styleId="WW8Num37z0">
    <w:name w:val="WW8Num37z0"/>
    <w:qFormat/>
    <w:rPr>
      <w:rFonts w:ascii="Wingdings" w:hAnsi="Wingdings" w:cs="Wingdings"/>
    </w:rPr>
  </w:style>
  <w:style w:type="character" w:customStyle="1" w:styleId="WW8Num38z0">
    <w:name w:val="WW8Num38z0"/>
    <w:qFormat/>
    <w:rPr>
      <w:b/>
    </w:rPr>
  </w:style>
  <w:style w:type="character" w:customStyle="1" w:styleId="WW8Num38z1">
    <w:name w:val="WW8Num38z1"/>
    <w:qFormat/>
    <w:rPr>
      <w:rFonts w:cs="Times New Roman"/>
      <w:b/>
    </w:rPr>
  </w:style>
  <w:style w:type="character" w:customStyle="1" w:styleId="WW8Num39z0">
    <w:name w:val="WW8Num39z0"/>
    <w:qFormat/>
  </w:style>
  <w:style w:type="character" w:customStyle="1" w:styleId="WW8Num40z0">
    <w:name w:val="WW8Num40z0"/>
    <w:qFormat/>
  </w:style>
  <w:style w:type="character" w:customStyle="1" w:styleId="CabealhoChar">
    <w:name w:val="Cabeçalho Char"/>
    <w:qFormat/>
    <w:rPr>
      <w:rFonts w:eastAsia="SimSun;宋体"/>
      <w:sz w:val="24"/>
      <w:szCs w:val="24"/>
      <w:lang w:val="pt-BR" w:eastAsia="zh-CN" w:bidi="ar-SA"/>
    </w:rPr>
  </w:style>
  <w:style w:type="character" w:customStyle="1" w:styleId="Corpodetexto2Char">
    <w:name w:val="Corpo de texto 2 Char"/>
    <w:qFormat/>
    <w:rPr>
      <w:rFonts w:eastAsia="Times New Roman"/>
      <w:sz w:val="24"/>
      <w:szCs w:val="24"/>
      <w:lang w:eastAsia="zh-CN"/>
    </w:rPr>
  </w:style>
  <w:style w:type="character" w:customStyle="1" w:styleId="Corpodetexto3Char">
    <w:name w:val="Corpo de texto 3 Char"/>
    <w:qFormat/>
    <w:rPr>
      <w:rFonts w:ascii="Courier New" w:eastAsia="Times New Roman" w:hAnsi="Courier New" w:cs="Courier New"/>
      <w:sz w:val="16"/>
      <w:szCs w:val="16"/>
    </w:rPr>
  </w:style>
  <w:style w:type="character" w:customStyle="1" w:styleId="Ttulo8Char">
    <w:name w:val="Título 8 Char"/>
    <w:qFormat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TextodenotaderodapChar">
    <w:name w:val="Texto de nota de rodapé Char"/>
    <w:qFormat/>
    <w:rPr>
      <w:rFonts w:ascii="Arial" w:eastAsia="Times New Roman" w:hAnsi="Arial" w:cs="Arial"/>
    </w:rPr>
  </w:style>
  <w:style w:type="character" w:customStyle="1" w:styleId="FootnoteCharacters">
    <w:name w:val="Footnote Characters"/>
    <w:qFormat/>
    <w:rPr>
      <w:vertAlign w:val="superscript"/>
    </w:rPr>
  </w:style>
  <w:style w:type="character" w:styleId="Hyperlink">
    <w:name w:val="Hyperlink"/>
    <w:rPr>
      <w:color w:val="0000FF"/>
      <w:u w:val="single"/>
    </w:rPr>
  </w:style>
  <w:style w:type="character" w:styleId="Forte">
    <w:name w:val="Strong"/>
    <w:qFormat/>
    <w:rPr>
      <w:b/>
      <w:bCs/>
    </w:rPr>
  </w:style>
  <w:style w:type="character" w:customStyle="1" w:styleId="TtuloChar">
    <w:name w:val="Título Char"/>
    <w:qFormat/>
    <w:rPr>
      <w:rFonts w:ascii="Arial" w:eastAsia="Times New Roman" w:hAnsi="Arial" w:cs="Arial"/>
      <w:b/>
      <w:sz w:val="24"/>
    </w:rPr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1">
    <w:name w:val="WW8Num2z1"/>
    <w:qFormat/>
    <w:rPr>
      <w:rFonts w:ascii="Franklin Gothic Book" w:hAnsi="Franklin Gothic Book" w:cs="Franklin Gothic Book"/>
      <w:sz w:val="18"/>
      <w:szCs w:val="18"/>
    </w:rPr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1">
    <w:name w:val="WW8Num3z1"/>
    <w:qFormat/>
    <w:rPr>
      <w:rFonts w:cs="Franklin Gothic Book"/>
    </w:rPr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WW8Num4z1">
    <w:name w:val="WW8Num4z1"/>
    <w:qFormat/>
    <w:rPr>
      <w:rFonts w:ascii="Franklin Gothic Book" w:eastAsia="Times New Roman" w:hAnsi="Franklin Gothic Book" w:cs="Franklin Gothic Book"/>
      <w:sz w:val="18"/>
      <w:szCs w:val="18"/>
      <w:lang w:eastAsia="zh-CN"/>
    </w:rPr>
  </w:style>
  <w:style w:type="character" w:customStyle="1" w:styleId="WW8Num4z2">
    <w:name w:val="WW8Num4z2"/>
    <w:qFormat/>
  </w:style>
  <w:style w:type="character" w:customStyle="1" w:styleId="WW8Num4z3">
    <w:name w:val="WW8Num4z3"/>
    <w:qFormat/>
  </w:style>
  <w:style w:type="character" w:customStyle="1" w:styleId="WW8Num4z4">
    <w:name w:val="WW8Num4z4"/>
    <w:qFormat/>
  </w:style>
  <w:style w:type="character" w:customStyle="1" w:styleId="WW8Num4z5">
    <w:name w:val="WW8Num4z5"/>
    <w:qFormat/>
  </w:style>
  <w:style w:type="character" w:customStyle="1" w:styleId="WW8Num4z6">
    <w:name w:val="WW8Num4z6"/>
    <w:qFormat/>
  </w:style>
  <w:style w:type="character" w:customStyle="1" w:styleId="WW8Num4z7">
    <w:name w:val="WW8Num4z7"/>
    <w:qFormat/>
  </w:style>
  <w:style w:type="character" w:customStyle="1" w:styleId="WW8Num4z8">
    <w:name w:val="WW8Num4z8"/>
    <w:qFormat/>
  </w:style>
  <w:style w:type="character" w:customStyle="1" w:styleId="WW8Num5z0">
    <w:name w:val="WW8Num5z0"/>
    <w:qFormat/>
    <w:rPr>
      <w:rFonts w:ascii="Symbol" w:hAnsi="Symbol" w:cs="OpenSymbol"/>
      <w:color w:val="000000"/>
      <w:sz w:val="18"/>
      <w:szCs w:val="18"/>
      <w:shd w:val="clear" w:color="auto" w:fill="auto"/>
      <w:lang w:val="en-US"/>
    </w:rPr>
  </w:style>
  <w:style w:type="character" w:customStyle="1" w:styleId="WW8Num12z1">
    <w:name w:val="WW8Num12z1"/>
    <w:qFormat/>
    <w:rPr>
      <w:rFonts w:ascii="OpenSymbol" w:hAnsi="OpenSymbol" w:cs="OpenSymbol"/>
    </w:rPr>
  </w:style>
  <w:style w:type="character" w:customStyle="1" w:styleId="WW8Num13z1">
    <w:name w:val="WW8Num13z1"/>
    <w:qFormat/>
    <w:rPr>
      <w:rFonts w:ascii="OpenSymbol" w:hAnsi="OpenSymbol" w:cs="OpenSymbol"/>
    </w:rPr>
  </w:style>
  <w:style w:type="character" w:customStyle="1" w:styleId="WW8Num14z0">
    <w:name w:val="WW8Num14z0"/>
    <w:qFormat/>
    <w:rPr>
      <w:rFonts w:ascii="Symbol" w:hAnsi="Symbol" w:cs="OpenSymbol"/>
      <w:color w:val="000000"/>
      <w:sz w:val="18"/>
      <w:szCs w:val="18"/>
      <w:shd w:val="clear" w:color="auto" w:fill="auto"/>
      <w:lang w:val="en-US"/>
    </w:rPr>
  </w:style>
  <w:style w:type="character" w:customStyle="1" w:styleId="WW8Num14z1">
    <w:name w:val="WW8Num14z1"/>
    <w:qFormat/>
    <w:rPr>
      <w:rFonts w:ascii="OpenSymbol" w:hAnsi="OpenSymbol" w:cs="OpenSymbol"/>
    </w:rPr>
  </w:style>
  <w:style w:type="character" w:customStyle="1" w:styleId="WW8Num16z1">
    <w:name w:val="WW8Num16z1"/>
    <w:qFormat/>
    <w:rPr>
      <w:rFonts w:ascii="OpenSymbol" w:hAnsi="OpenSymbol" w:cs="OpenSymbol"/>
    </w:rPr>
  </w:style>
  <w:style w:type="character" w:customStyle="1" w:styleId="WW8Num5z2">
    <w:name w:val="WW8Num5z2"/>
    <w:qFormat/>
  </w:style>
  <w:style w:type="character" w:customStyle="1" w:styleId="WW8Num5z3">
    <w:name w:val="WW8Num5z3"/>
    <w:qFormat/>
  </w:style>
  <w:style w:type="character" w:customStyle="1" w:styleId="WW8Num5z4">
    <w:name w:val="WW8Num5z4"/>
    <w:qFormat/>
  </w:style>
  <w:style w:type="character" w:customStyle="1" w:styleId="WW8Num5z5">
    <w:name w:val="WW8Num5z5"/>
    <w:qFormat/>
  </w:style>
  <w:style w:type="character" w:customStyle="1" w:styleId="WW8Num5z6">
    <w:name w:val="WW8Num5z6"/>
    <w:qFormat/>
  </w:style>
  <w:style w:type="character" w:customStyle="1" w:styleId="WW8Num5z7">
    <w:name w:val="WW8Num5z7"/>
    <w:qFormat/>
  </w:style>
  <w:style w:type="character" w:customStyle="1" w:styleId="WW8Num5z8">
    <w:name w:val="WW8Num5z8"/>
    <w:qFormat/>
  </w:style>
  <w:style w:type="character" w:customStyle="1" w:styleId="WW8Num18z0">
    <w:name w:val="WW8Num18z0"/>
    <w:qFormat/>
    <w:rPr>
      <w:rFonts w:ascii="Symbol" w:hAnsi="Symbol" w:cs="OpenSymbol"/>
    </w:rPr>
  </w:style>
  <w:style w:type="character" w:customStyle="1" w:styleId="WW8Num18z1">
    <w:name w:val="WW8Num18z1"/>
    <w:qFormat/>
    <w:rPr>
      <w:rFonts w:ascii="OpenSymbol" w:hAnsi="OpenSymbol" w:cs="OpenSymbol"/>
    </w:rPr>
  </w:style>
  <w:style w:type="character" w:customStyle="1" w:styleId="WW8Num6z2">
    <w:name w:val="WW8Num6z2"/>
    <w:qFormat/>
  </w:style>
  <w:style w:type="character" w:customStyle="1" w:styleId="WW8Num6z3">
    <w:name w:val="WW8Num6z3"/>
    <w:qFormat/>
  </w:style>
  <w:style w:type="character" w:customStyle="1" w:styleId="WW8Num6z4">
    <w:name w:val="WW8Num6z4"/>
    <w:qFormat/>
  </w:style>
  <w:style w:type="character" w:customStyle="1" w:styleId="WW8Num6z5">
    <w:name w:val="WW8Num6z5"/>
    <w:qFormat/>
  </w:style>
  <w:style w:type="character" w:customStyle="1" w:styleId="WW8Num6z6">
    <w:name w:val="WW8Num6z6"/>
    <w:qFormat/>
  </w:style>
  <w:style w:type="character" w:customStyle="1" w:styleId="WW8Num6z7">
    <w:name w:val="WW8Num6z7"/>
    <w:qFormat/>
  </w:style>
  <w:style w:type="character" w:customStyle="1" w:styleId="WW8Num6z8">
    <w:name w:val="WW8Num6z8"/>
    <w:qFormat/>
  </w:style>
  <w:style w:type="character" w:customStyle="1" w:styleId="WW8Num7z2">
    <w:name w:val="WW8Num7z2"/>
    <w:qFormat/>
  </w:style>
  <w:style w:type="character" w:customStyle="1" w:styleId="WW8Num7z3">
    <w:name w:val="WW8Num7z3"/>
    <w:qFormat/>
  </w:style>
  <w:style w:type="character" w:customStyle="1" w:styleId="WW8Num7z4">
    <w:name w:val="WW8Num7z4"/>
    <w:qFormat/>
  </w:style>
  <w:style w:type="character" w:customStyle="1" w:styleId="WW8Num7z5">
    <w:name w:val="WW8Num7z5"/>
    <w:qFormat/>
  </w:style>
  <w:style w:type="character" w:customStyle="1" w:styleId="WW8Num7z6">
    <w:name w:val="WW8Num7z6"/>
    <w:qFormat/>
  </w:style>
  <w:style w:type="character" w:customStyle="1" w:styleId="WW8Num7z7">
    <w:name w:val="WW8Num7z7"/>
    <w:qFormat/>
  </w:style>
  <w:style w:type="character" w:customStyle="1" w:styleId="WW8Num7z8">
    <w:name w:val="WW8Num7z8"/>
    <w:qFormat/>
  </w:style>
  <w:style w:type="character" w:customStyle="1" w:styleId="Fontepargpadro1">
    <w:name w:val="Fonte parág. padrão1"/>
    <w:qFormat/>
  </w:style>
  <w:style w:type="character" w:styleId="HiperlinkVisitado">
    <w:name w:val="FollowedHyperlink"/>
    <w:rPr>
      <w:color w:val="800080"/>
      <w:u w:val="single"/>
    </w:rPr>
  </w:style>
  <w:style w:type="character" w:customStyle="1" w:styleId="apple-converted-space">
    <w:name w:val="apple-converted-space"/>
    <w:qFormat/>
  </w:style>
  <w:style w:type="character" w:customStyle="1" w:styleId="normaltextrunscx31454166">
    <w:name w:val="normaltextrun scx31454166"/>
    <w:qFormat/>
  </w:style>
  <w:style w:type="character" w:customStyle="1" w:styleId="CorpodetextoChar">
    <w:name w:val="Corpo de texto Char"/>
    <w:qFormat/>
    <w:rPr>
      <w:rFonts w:ascii="Calibri" w:eastAsia="Calibri" w:hAnsi="Calibri" w:cs="Calibri"/>
      <w:color w:val="00000A"/>
      <w:sz w:val="22"/>
      <w:szCs w:val="22"/>
    </w:rPr>
  </w:style>
  <w:style w:type="character" w:customStyle="1" w:styleId="Marcas">
    <w:name w:val="Marcas"/>
    <w:qFormat/>
    <w:rPr>
      <w:rFonts w:ascii="OpenSymbol" w:eastAsia="OpenSymbol" w:hAnsi="OpenSymbol" w:cs="OpenSymbol"/>
    </w:rPr>
  </w:style>
  <w:style w:type="paragraph" w:customStyle="1" w:styleId="Heading">
    <w:name w:val="Heading"/>
    <w:basedOn w:val="Normal"/>
    <w:next w:val="Subttulo"/>
    <w:qFormat/>
    <w:pPr>
      <w:jc w:val="center"/>
    </w:pPr>
    <w:rPr>
      <w:b/>
      <w:szCs w:val="20"/>
      <w:lang w:val="en-US"/>
    </w:rPr>
  </w:style>
  <w:style w:type="paragraph" w:styleId="Corpodetexto">
    <w:name w:val="Body Text"/>
    <w:basedOn w:val="Normal"/>
    <w:pPr>
      <w:spacing w:after="120"/>
    </w:pPr>
  </w:style>
  <w:style w:type="paragraph" w:styleId="Lista">
    <w:name w:val="List"/>
    <w:basedOn w:val="WW-Corpodotexto"/>
    <w:rPr>
      <w:rFonts w:cs="Mangal;Courier New"/>
    </w:rPr>
  </w:style>
  <w:style w:type="paragraph" w:styleId="Legenda">
    <w:name w:val="caption"/>
    <w:basedOn w:val="Normal"/>
    <w:qFormat/>
    <w:pPr>
      <w:suppressLineNumbers/>
      <w:spacing w:before="120" w:after="120" w:line="276" w:lineRule="auto"/>
    </w:pPr>
    <w:rPr>
      <w:rFonts w:ascii="Calibri" w:eastAsia="Calibri" w:hAnsi="Calibri" w:cs="Mangal;Courier New"/>
      <w:i/>
      <w:iCs/>
      <w:color w:val="00000A"/>
    </w:rPr>
  </w:style>
  <w:style w:type="paragraph" w:customStyle="1" w:styleId="Index">
    <w:name w:val="Index"/>
    <w:basedOn w:val="Normal"/>
    <w:qFormat/>
    <w:pPr>
      <w:suppressLineNumbers/>
    </w:pPr>
    <w:rPr>
      <w:rFonts w:cs="FreeSans"/>
    </w:rPr>
  </w:style>
  <w:style w:type="paragraph" w:customStyle="1" w:styleId="HeaderandFooter">
    <w:name w:val="Header and Footer"/>
    <w:basedOn w:val="Normal"/>
    <w:qFormat/>
    <w:pPr>
      <w:suppressLineNumbers/>
      <w:tabs>
        <w:tab w:val="center" w:pos="4819"/>
        <w:tab w:val="right" w:pos="9638"/>
      </w:tabs>
    </w:pPr>
  </w:style>
  <w:style w:type="paragraph" w:styleId="Cabealho">
    <w:name w:val="header"/>
    <w:basedOn w:val="Normal"/>
    <w:pPr>
      <w:tabs>
        <w:tab w:val="center" w:pos="4419"/>
        <w:tab w:val="right" w:pos="8838"/>
      </w:tabs>
    </w:pPr>
    <w:rPr>
      <w:rFonts w:ascii="Times New Roman" w:eastAsia="SimSun;宋体" w:hAnsi="Times New Roman" w:cs="Times New Roman"/>
    </w:r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paragraph" w:styleId="Textodebalo">
    <w:name w:val="Balloon Text"/>
    <w:basedOn w:val="Normal"/>
    <w:qFormat/>
    <w:rPr>
      <w:rFonts w:ascii="Tahoma" w:hAnsi="Tahoma" w:cs="Tahoma"/>
      <w:sz w:val="16"/>
      <w:szCs w:val="16"/>
    </w:rPr>
  </w:style>
  <w:style w:type="paragraph" w:styleId="Recuodecorpodetexto">
    <w:name w:val="Body Text Indent"/>
    <w:basedOn w:val="Normal"/>
    <w:pPr>
      <w:ind w:left="2127" w:hanging="2127"/>
      <w:jc w:val="both"/>
    </w:pPr>
    <w:rPr>
      <w:rFonts w:ascii="Courier New" w:hAnsi="Courier New" w:cs="Courier New"/>
      <w:sz w:val="28"/>
      <w:szCs w:val="20"/>
    </w:rPr>
  </w:style>
  <w:style w:type="paragraph" w:styleId="Recuodecorpodetexto2">
    <w:name w:val="Body Text Indent 2"/>
    <w:basedOn w:val="Normal"/>
    <w:qFormat/>
    <w:pPr>
      <w:spacing w:after="120" w:line="480" w:lineRule="auto"/>
      <w:ind w:left="283"/>
    </w:pPr>
  </w:style>
  <w:style w:type="paragraph" w:customStyle="1" w:styleId="Corpodetexto21">
    <w:name w:val="Corpo de texto 21"/>
    <w:basedOn w:val="Normal"/>
    <w:qFormat/>
    <w:pPr>
      <w:jc w:val="both"/>
    </w:pPr>
    <w:rPr>
      <w:sz w:val="26"/>
      <w:szCs w:val="20"/>
    </w:rPr>
  </w:style>
  <w:style w:type="paragraph" w:styleId="Subttulo">
    <w:name w:val="Subtitle"/>
    <w:basedOn w:val="Normal"/>
    <w:next w:val="Corpodetexto"/>
    <w:qFormat/>
    <w:pPr>
      <w:spacing w:after="60"/>
      <w:jc w:val="center"/>
      <w:outlineLvl w:val="1"/>
    </w:pPr>
  </w:style>
  <w:style w:type="paragraph" w:styleId="PargrafodaLista">
    <w:name w:val="List Paragraph"/>
    <w:basedOn w:val="Normal"/>
    <w:qFormat/>
    <w:pPr>
      <w:ind w:left="720"/>
      <w:contextualSpacing/>
    </w:pPr>
    <w:rPr>
      <w:rFonts w:ascii="Times New Roman" w:hAnsi="Times New Roman" w:cs="Times New Roman"/>
    </w:rPr>
  </w:style>
  <w:style w:type="paragraph" w:styleId="Corpodetexto2">
    <w:name w:val="Body Text 2"/>
    <w:basedOn w:val="Normal"/>
    <w:qFormat/>
    <w:pPr>
      <w:jc w:val="both"/>
    </w:pPr>
    <w:rPr>
      <w:rFonts w:ascii="Times New Roman" w:hAnsi="Times New Roman" w:cs="Times New Roman"/>
      <w:szCs w:val="20"/>
    </w:rPr>
  </w:style>
  <w:style w:type="paragraph" w:styleId="Corpodetexto3">
    <w:name w:val="Body Text 3"/>
    <w:basedOn w:val="Normal"/>
    <w:qFormat/>
    <w:pPr>
      <w:widowControl w:val="0"/>
      <w:jc w:val="both"/>
    </w:pPr>
    <w:rPr>
      <w:rFonts w:ascii="Times New Roman" w:hAnsi="Times New Roman" w:cs="Times New Roman"/>
      <w:sz w:val="20"/>
      <w:szCs w:val="20"/>
    </w:rPr>
  </w:style>
  <w:style w:type="paragraph" w:styleId="NormalWeb">
    <w:name w:val="Normal (Web)"/>
    <w:basedOn w:val="Normal"/>
    <w:qFormat/>
    <w:pPr>
      <w:spacing w:before="100" w:after="100"/>
    </w:pPr>
    <w:rPr>
      <w:rFonts w:ascii="Times New Roman" w:hAnsi="Times New Roman" w:cs="Times New Roman"/>
      <w:szCs w:val="20"/>
    </w:rPr>
  </w:style>
  <w:style w:type="paragraph" w:customStyle="1" w:styleId="A150165">
    <w:name w:val="_A150165"/>
    <w:qFormat/>
    <w:pPr>
      <w:widowControl w:val="0"/>
      <w:suppressAutoHyphens/>
      <w:autoSpaceDE w:val="0"/>
      <w:ind w:firstLine="2016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paragraph" w:styleId="Textodenotaderodap">
    <w:name w:val="footnote text"/>
    <w:basedOn w:val="Normal"/>
    <w:rPr>
      <w:sz w:val="20"/>
      <w:szCs w:val="20"/>
      <w:lang w:val="en-US"/>
    </w:rPr>
  </w:style>
  <w:style w:type="paragraph" w:customStyle="1" w:styleId="Recuodecorpodetexto21">
    <w:name w:val="Recuo de corpo de texto 21"/>
    <w:basedOn w:val="Normal"/>
    <w:qFormat/>
    <w:pPr>
      <w:ind w:left="567" w:hanging="283"/>
      <w:jc w:val="both"/>
    </w:pPr>
    <w:rPr>
      <w:sz w:val="22"/>
      <w:szCs w:val="20"/>
    </w:rPr>
  </w:style>
  <w:style w:type="paragraph" w:customStyle="1" w:styleId="Corpodetexto31">
    <w:name w:val="Corpo de texto 31"/>
    <w:basedOn w:val="Normal"/>
    <w:qFormat/>
    <w:pPr>
      <w:widowControl w:val="0"/>
      <w:jc w:val="both"/>
    </w:pPr>
    <w:rPr>
      <w:rFonts w:ascii="Times New Roman" w:hAnsi="Times New Roman" w:cs="Times New Roman"/>
      <w:sz w:val="20"/>
      <w:szCs w:val="20"/>
    </w:rPr>
  </w:style>
  <w:style w:type="paragraph" w:customStyle="1" w:styleId="Item">
    <w:name w:val="Item"/>
    <w:basedOn w:val="Normal"/>
    <w:qFormat/>
    <w:pPr>
      <w:numPr>
        <w:numId w:val="2"/>
      </w:numPr>
      <w:overflowPunct w:val="0"/>
      <w:autoSpaceDE w:val="0"/>
      <w:spacing w:before="480"/>
    </w:pPr>
    <w:rPr>
      <w:b/>
      <w:szCs w:val="20"/>
    </w:rPr>
  </w:style>
  <w:style w:type="paragraph" w:customStyle="1" w:styleId="WW-NormalWeb">
    <w:name w:val="WW-Normal (Web)"/>
    <w:basedOn w:val="Normal"/>
    <w:qFormat/>
    <w:pPr>
      <w:spacing w:before="100" w:after="100"/>
    </w:pPr>
    <w:rPr>
      <w:rFonts w:ascii="Times New Roman" w:eastAsia="Calibri" w:hAnsi="Times New Roman" w:cs="Times New Roman"/>
    </w:rPr>
  </w:style>
  <w:style w:type="paragraph" w:customStyle="1" w:styleId="Item11">
    <w:name w:val="Item_1.1"/>
    <w:basedOn w:val="Normal"/>
    <w:qFormat/>
    <w:pPr>
      <w:widowControl w:val="0"/>
      <w:ind w:left="993" w:hanging="993"/>
    </w:pPr>
    <w:rPr>
      <w:rFonts w:ascii="Courier New" w:eastAsia="Calibri" w:hAnsi="Courier New" w:cs="Courier New"/>
      <w:sz w:val="20"/>
      <w:szCs w:val="20"/>
    </w:rPr>
  </w:style>
  <w:style w:type="paragraph" w:customStyle="1" w:styleId="Ttulo10">
    <w:name w:val="Título1"/>
    <w:basedOn w:val="Normal"/>
    <w:next w:val="Corpodetexto"/>
    <w:qFormat/>
    <w:pPr>
      <w:keepNext/>
      <w:spacing w:before="240" w:after="120" w:line="276" w:lineRule="auto"/>
    </w:pPr>
    <w:rPr>
      <w:rFonts w:ascii="Liberation Sans;Arial" w:eastAsia="Microsoft YaHei" w:hAnsi="Liberation Sans;Arial" w:cs="Mangal;Courier New"/>
      <w:color w:val="00000A"/>
      <w:sz w:val="28"/>
      <w:szCs w:val="28"/>
    </w:rPr>
  </w:style>
  <w:style w:type="paragraph" w:customStyle="1" w:styleId="WW-Corpodotexto">
    <w:name w:val="WW-Corpo do texto"/>
    <w:basedOn w:val="Normal"/>
    <w:qFormat/>
    <w:pPr>
      <w:spacing w:after="120" w:line="288" w:lineRule="auto"/>
      <w:jc w:val="both"/>
    </w:pPr>
    <w:rPr>
      <w:rFonts w:ascii="Calibri" w:eastAsia="Calibri" w:hAnsi="Calibri" w:cs="Calibri"/>
      <w:color w:val="00000A"/>
      <w:sz w:val="28"/>
      <w:szCs w:val="22"/>
    </w:rPr>
  </w:style>
  <w:style w:type="paragraph" w:customStyle="1" w:styleId="ndice">
    <w:name w:val="Índice"/>
    <w:basedOn w:val="Normal"/>
    <w:qFormat/>
    <w:pPr>
      <w:suppressLineNumbers/>
      <w:spacing w:after="200" w:line="276" w:lineRule="auto"/>
    </w:pPr>
    <w:rPr>
      <w:rFonts w:ascii="Calibri" w:eastAsia="Calibri" w:hAnsi="Calibri" w:cs="Mangal;Courier New"/>
      <w:color w:val="00000A"/>
      <w:sz w:val="22"/>
      <w:szCs w:val="22"/>
    </w:rPr>
  </w:style>
  <w:style w:type="paragraph" w:customStyle="1" w:styleId="western">
    <w:name w:val="western"/>
    <w:basedOn w:val="Normal"/>
    <w:qFormat/>
    <w:pPr>
      <w:spacing w:before="62" w:line="360" w:lineRule="auto"/>
      <w:ind w:firstLine="709"/>
      <w:jc w:val="both"/>
    </w:pPr>
    <w:rPr>
      <w:rFonts w:ascii="Franklin Gothic Book" w:hAnsi="Franklin Gothic Book" w:cs="Franklin Gothic Book"/>
      <w:color w:val="000000"/>
      <w:sz w:val="28"/>
      <w:szCs w:val="28"/>
    </w:rPr>
  </w:style>
  <w:style w:type="paragraph" w:customStyle="1" w:styleId="TtuloAnexo">
    <w:name w:val="Título Anexo"/>
    <w:basedOn w:val="Normal"/>
    <w:next w:val="Normal"/>
    <w:qFormat/>
    <w:pPr>
      <w:keepNext/>
      <w:spacing w:before="240" w:after="120" w:line="360" w:lineRule="auto"/>
      <w:jc w:val="center"/>
    </w:pPr>
    <w:rPr>
      <w:rFonts w:ascii="Calibri" w:eastAsia="SimSun;宋体" w:hAnsi="Calibri" w:cs="Mangal;Courier New"/>
      <w:b/>
      <w:color w:val="00000A"/>
      <w:sz w:val="22"/>
      <w:szCs w:val="28"/>
    </w:rPr>
  </w:style>
  <w:style w:type="paragraph" w:customStyle="1" w:styleId="TextosemFormatao1">
    <w:name w:val="Texto sem Formatação1"/>
    <w:basedOn w:val="Normal"/>
    <w:qFormat/>
    <w:pPr>
      <w:spacing w:after="200" w:line="288" w:lineRule="auto"/>
    </w:pPr>
    <w:rPr>
      <w:rFonts w:ascii="Consolas" w:eastAsia="Calibri" w:hAnsi="Consolas" w:cs="Consolas"/>
      <w:color w:val="00000A"/>
      <w:sz w:val="21"/>
      <w:szCs w:val="21"/>
    </w:rPr>
  </w:style>
  <w:style w:type="paragraph" w:customStyle="1" w:styleId="Contedodatabela">
    <w:name w:val="Conteúdo da tabela"/>
    <w:basedOn w:val="Normal"/>
    <w:qFormat/>
    <w:pPr>
      <w:suppressLineNumbers/>
      <w:spacing w:after="200" w:line="276" w:lineRule="auto"/>
    </w:pPr>
    <w:rPr>
      <w:rFonts w:ascii="Calibri" w:eastAsia="Calibri" w:hAnsi="Calibri" w:cs="Calibri"/>
      <w:color w:val="00000A"/>
      <w:sz w:val="22"/>
      <w:szCs w:val="22"/>
    </w:rPr>
  </w:style>
  <w:style w:type="paragraph" w:customStyle="1" w:styleId="Ttulodetabela">
    <w:name w:val="Título de tabela"/>
    <w:basedOn w:val="Contedodatabela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13">
    <w:name w:val="WW8Num13"/>
    <w:qFormat/>
  </w:style>
  <w:style w:type="numbering" w:customStyle="1" w:styleId="WW8Num14">
    <w:name w:val="WW8Num14"/>
    <w:qFormat/>
  </w:style>
  <w:style w:type="numbering" w:customStyle="1" w:styleId="WW8Num15">
    <w:name w:val="WW8Num15"/>
    <w:qFormat/>
  </w:style>
  <w:style w:type="numbering" w:customStyle="1" w:styleId="WW8Num16">
    <w:name w:val="WW8Num16"/>
    <w:qFormat/>
  </w:style>
  <w:style w:type="numbering" w:customStyle="1" w:styleId="WW8Num17">
    <w:name w:val="WW8Num17"/>
    <w:qFormat/>
  </w:style>
  <w:style w:type="numbering" w:customStyle="1" w:styleId="WW8Num18">
    <w:name w:val="WW8Num18"/>
    <w:qFormat/>
  </w:style>
  <w:style w:type="numbering" w:customStyle="1" w:styleId="WW8Num19">
    <w:name w:val="WW8Num19"/>
    <w:qFormat/>
  </w:style>
  <w:style w:type="numbering" w:customStyle="1" w:styleId="WW8Num20">
    <w:name w:val="WW8Num20"/>
    <w:qFormat/>
  </w:style>
  <w:style w:type="numbering" w:customStyle="1" w:styleId="WW8Num21">
    <w:name w:val="WW8Num21"/>
    <w:qFormat/>
  </w:style>
  <w:style w:type="numbering" w:customStyle="1" w:styleId="WW8Num22">
    <w:name w:val="WW8Num22"/>
    <w:qFormat/>
  </w:style>
  <w:style w:type="numbering" w:customStyle="1" w:styleId="WW8Num23">
    <w:name w:val="WW8Num23"/>
    <w:qFormat/>
  </w:style>
  <w:style w:type="numbering" w:customStyle="1" w:styleId="WW8Num24">
    <w:name w:val="WW8Num24"/>
    <w:qFormat/>
  </w:style>
  <w:style w:type="numbering" w:customStyle="1" w:styleId="WW8Num25">
    <w:name w:val="WW8Num25"/>
    <w:qFormat/>
  </w:style>
  <w:style w:type="numbering" w:customStyle="1" w:styleId="WW8Num26">
    <w:name w:val="WW8Num26"/>
    <w:qFormat/>
  </w:style>
  <w:style w:type="numbering" w:customStyle="1" w:styleId="WW8Num27">
    <w:name w:val="WW8Num27"/>
    <w:qFormat/>
  </w:style>
  <w:style w:type="numbering" w:customStyle="1" w:styleId="WW8Num28">
    <w:name w:val="WW8Num28"/>
    <w:qFormat/>
  </w:style>
  <w:style w:type="numbering" w:customStyle="1" w:styleId="WW8Num29">
    <w:name w:val="WW8Num29"/>
    <w:qFormat/>
  </w:style>
  <w:style w:type="numbering" w:customStyle="1" w:styleId="WW8Num30">
    <w:name w:val="WW8Num30"/>
    <w:qFormat/>
  </w:style>
  <w:style w:type="numbering" w:customStyle="1" w:styleId="WW8Num31">
    <w:name w:val="WW8Num31"/>
    <w:qFormat/>
  </w:style>
  <w:style w:type="numbering" w:customStyle="1" w:styleId="WW8Num32">
    <w:name w:val="WW8Num32"/>
    <w:qFormat/>
  </w:style>
  <w:style w:type="numbering" w:customStyle="1" w:styleId="WW8Num33">
    <w:name w:val="WW8Num33"/>
    <w:qFormat/>
  </w:style>
  <w:style w:type="numbering" w:customStyle="1" w:styleId="WW8Num34">
    <w:name w:val="WW8Num34"/>
    <w:qFormat/>
  </w:style>
  <w:style w:type="numbering" w:customStyle="1" w:styleId="WW8Num35">
    <w:name w:val="WW8Num35"/>
    <w:qFormat/>
  </w:style>
  <w:style w:type="numbering" w:customStyle="1" w:styleId="WW8Num36">
    <w:name w:val="WW8Num36"/>
    <w:qFormat/>
  </w:style>
  <w:style w:type="numbering" w:customStyle="1" w:styleId="WW8Num37">
    <w:name w:val="WW8Num37"/>
    <w:qFormat/>
  </w:style>
  <w:style w:type="numbering" w:customStyle="1" w:styleId="WW8Num38">
    <w:name w:val="WW8Num38"/>
    <w:qFormat/>
  </w:style>
  <w:style w:type="numbering" w:customStyle="1" w:styleId="WW8Num39">
    <w:name w:val="WW8Num39"/>
    <w:qFormat/>
  </w:style>
  <w:style w:type="numbering" w:customStyle="1" w:styleId="WW8Num40">
    <w:name w:val="WW8Num40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1078</Words>
  <Characters>5826</Characters>
  <Application>Microsoft Office Word</Application>
  <DocSecurity>0</DocSecurity>
  <Lines>48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 Pastl</dc:creator>
  <cp:lastModifiedBy>Andre Pastl</cp:lastModifiedBy>
  <cp:revision>4</cp:revision>
  <cp:lastPrinted>2026-09-08T18:38:00Z</cp:lastPrinted>
  <dcterms:created xsi:type="dcterms:W3CDTF">2026-09-02T18:46:00Z</dcterms:created>
  <dcterms:modified xsi:type="dcterms:W3CDTF">2026-09-08T18:43:00Z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2026-06-01T16:23:00Z</dcterms:created>
  <dc:creator>daniela</dc:creator>
  <dc:description/>
  <cp:keywords/>
  <dc:language>en-US</dc:language>
  <cp:lastModifiedBy>Andre Pastl</cp:lastModifiedBy>
  <cp:lastPrinted>2025-05-27T09:12:00Z</cp:lastPrinted>
  <dcterms:modified xsi:type="dcterms:W3CDTF">2026-06-30T16:20:00Z</dcterms:modified>
  <cp:revision>6</cp:revision>
  <dc:subject/>
  <dc:title>DECLARAÇÃO</dc:title>
</cp:coreProperties>
</file>