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E8AC" w14:textId="76A78533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20</w:t>
      </w:r>
      <w:r w:rsidR="0031762F">
        <w:rPr>
          <w:sz w:val="24"/>
          <w:szCs w:val="24"/>
        </w:rPr>
        <w:t>9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00975436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31762F">
        <w:rPr>
          <w:rFonts w:ascii="Times New Roman" w:hAnsi="Times New Roman" w:cs="Times New Roman"/>
          <w:color w:val="000000" w:themeColor="text1"/>
          <w:sz w:val="20"/>
          <w:szCs w:val="20"/>
        </w:rPr>
        <w:t>FERNAND</w:t>
      </w:r>
      <w:bookmarkStart w:id="0" w:name="_GoBack"/>
      <w:bookmarkEnd w:id="0"/>
      <w:r w:rsidR="0031762F">
        <w:rPr>
          <w:rFonts w:ascii="Times New Roman" w:hAnsi="Times New Roman" w:cs="Times New Roman"/>
          <w:color w:val="000000" w:themeColor="text1"/>
          <w:sz w:val="20"/>
          <w:szCs w:val="20"/>
        </w:rPr>
        <w:t>O ZURLO DELLAZZANA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31762F">
        <w:rPr>
          <w:rFonts w:ascii="Times New Roman" w:hAnsi="Times New Roman" w:cs="Times New Roman"/>
          <w:color w:val="000000" w:themeColor="text1"/>
          <w:sz w:val="20"/>
          <w:szCs w:val="20"/>
        </w:rPr>
        <w:t>16.457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solenidade de formatura do curso de odontologia da Universidade 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Federal de Santa Maria, 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que ocorrerá no dia 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</w:t>
      </w:r>
      <w:r w:rsidR="006E619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agosto de 2025, 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às 15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 no</w:t>
      </w:r>
      <w:r w:rsidR="003176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Centro de Convenções da UFSM (Prédio 62) – Campus Sede</w:t>
      </w:r>
      <w:r w:rsidR="006E619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2B72977B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16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3423A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22A11"/>
    <w:rsid w:val="002B59CB"/>
    <w:rsid w:val="0031762F"/>
    <w:rsid w:val="003C4639"/>
    <w:rsid w:val="006333DE"/>
    <w:rsid w:val="006E6197"/>
    <w:rsid w:val="008E699B"/>
    <w:rsid w:val="00C3423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5</cp:revision>
  <cp:lastPrinted>2025-07-15T18:26:00Z</cp:lastPrinted>
  <dcterms:created xsi:type="dcterms:W3CDTF">2025-07-15T18:27:00Z</dcterms:created>
  <dcterms:modified xsi:type="dcterms:W3CDTF">2025-07-16T17:44:00Z</dcterms:modified>
</cp:coreProperties>
</file>