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4D1AA" w14:textId="37EBD6C5" w:rsidR="009767F2" w:rsidRDefault="009767F2" w:rsidP="009767F2">
      <w:pPr>
        <w:autoSpaceDE w:val="0"/>
        <w:autoSpaceDN w:val="0"/>
        <w:adjustRightInd w:val="0"/>
        <w:spacing w:line="360" w:lineRule="auto"/>
        <w:jc w:val="center"/>
        <w:rPr>
          <w:rFonts w:ascii="Tahoma" w:hAnsi="Tahoma" w:cs="Tahoma"/>
          <w:b/>
          <w:bCs/>
          <w:sz w:val="24"/>
          <w:szCs w:val="24"/>
          <w:lang w:val="pt"/>
        </w:rPr>
      </w:pPr>
      <w:r w:rsidRPr="007F50FA">
        <w:rPr>
          <w:rFonts w:ascii="Tahoma" w:hAnsi="Tahoma" w:cs="Tahoma"/>
          <w:b/>
          <w:bCs/>
          <w:sz w:val="24"/>
          <w:szCs w:val="24"/>
          <w:lang w:val="pt"/>
        </w:rPr>
        <w:t>Decisão CRO/RS</w:t>
      </w:r>
      <w:r w:rsidR="00E87816">
        <w:rPr>
          <w:rFonts w:ascii="Tahoma" w:hAnsi="Tahoma" w:cs="Tahoma"/>
          <w:b/>
          <w:bCs/>
          <w:sz w:val="24"/>
          <w:szCs w:val="24"/>
          <w:lang w:val="pt"/>
        </w:rPr>
        <w:t xml:space="preserve"> </w:t>
      </w:r>
      <w:r w:rsidR="00E87816" w:rsidRPr="00E87816">
        <w:rPr>
          <w:rFonts w:ascii="Tahoma" w:hAnsi="Tahoma" w:cs="Tahoma"/>
          <w:b/>
          <w:bCs/>
          <w:sz w:val="24"/>
          <w:szCs w:val="24"/>
          <w:lang w:val="pt"/>
        </w:rPr>
        <w:t>0</w:t>
      </w:r>
      <w:r w:rsidR="00537E20">
        <w:rPr>
          <w:rFonts w:ascii="Tahoma" w:hAnsi="Tahoma" w:cs="Tahoma"/>
          <w:b/>
          <w:bCs/>
          <w:sz w:val="24"/>
          <w:szCs w:val="24"/>
          <w:lang w:val="pt"/>
        </w:rPr>
        <w:t>0</w:t>
      </w:r>
      <w:r w:rsidR="00E87816" w:rsidRPr="00E87816">
        <w:rPr>
          <w:rFonts w:ascii="Tahoma" w:hAnsi="Tahoma" w:cs="Tahoma"/>
          <w:b/>
          <w:bCs/>
          <w:sz w:val="24"/>
          <w:szCs w:val="24"/>
          <w:lang w:val="pt"/>
        </w:rPr>
        <w:t>3</w:t>
      </w:r>
      <w:r w:rsidRPr="00E87816">
        <w:rPr>
          <w:rFonts w:ascii="Tahoma" w:hAnsi="Tahoma" w:cs="Tahoma"/>
          <w:b/>
          <w:bCs/>
          <w:sz w:val="24"/>
          <w:szCs w:val="24"/>
          <w:lang w:val="pt"/>
        </w:rPr>
        <w:t>/20</w:t>
      </w:r>
      <w:r w:rsidR="00F20AF5" w:rsidRPr="00E87816">
        <w:rPr>
          <w:rFonts w:ascii="Tahoma" w:hAnsi="Tahoma" w:cs="Tahoma"/>
          <w:b/>
          <w:bCs/>
          <w:sz w:val="24"/>
          <w:szCs w:val="24"/>
          <w:lang w:val="pt"/>
        </w:rPr>
        <w:t>2</w:t>
      </w:r>
      <w:r w:rsidR="00537E20">
        <w:rPr>
          <w:rFonts w:ascii="Tahoma" w:hAnsi="Tahoma" w:cs="Tahoma"/>
          <w:b/>
          <w:bCs/>
          <w:sz w:val="24"/>
          <w:szCs w:val="24"/>
          <w:lang w:val="pt"/>
        </w:rPr>
        <w:t>5</w:t>
      </w:r>
    </w:p>
    <w:p w14:paraId="314C2BEB" w14:textId="77777777" w:rsidR="007F50FA" w:rsidRPr="007F50FA" w:rsidRDefault="007F50FA" w:rsidP="009767F2">
      <w:pPr>
        <w:autoSpaceDE w:val="0"/>
        <w:autoSpaceDN w:val="0"/>
        <w:adjustRightInd w:val="0"/>
        <w:spacing w:line="360" w:lineRule="auto"/>
        <w:jc w:val="center"/>
        <w:rPr>
          <w:rFonts w:ascii="Tahoma" w:hAnsi="Tahoma" w:cs="Tahoma"/>
          <w:b/>
          <w:bCs/>
          <w:sz w:val="24"/>
          <w:szCs w:val="24"/>
          <w:lang w:val="pt"/>
        </w:rPr>
      </w:pPr>
    </w:p>
    <w:p w14:paraId="523DA2F2" w14:textId="50097717" w:rsidR="009767F2" w:rsidRDefault="009767F2" w:rsidP="009767F2">
      <w:pPr>
        <w:autoSpaceDE w:val="0"/>
        <w:autoSpaceDN w:val="0"/>
        <w:adjustRightInd w:val="0"/>
        <w:spacing w:line="360" w:lineRule="auto"/>
        <w:jc w:val="both"/>
        <w:rPr>
          <w:rFonts w:ascii="Tahoma" w:hAnsi="Tahoma" w:cs="Tahoma"/>
          <w:sz w:val="24"/>
          <w:szCs w:val="24"/>
          <w:lang w:val="pt"/>
        </w:rPr>
      </w:pPr>
      <w:r w:rsidRPr="007F50FA">
        <w:rPr>
          <w:rFonts w:ascii="Tahoma" w:hAnsi="Tahoma" w:cs="Tahoma"/>
          <w:sz w:val="24"/>
          <w:szCs w:val="24"/>
          <w:lang w:val="pt"/>
        </w:rPr>
        <w:t xml:space="preserve"> O </w:t>
      </w:r>
      <w:r w:rsidR="004C0D2A" w:rsidRPr="00274539">
        <w:rPr>
          <w:rFonts w:ascii="Tahoma" w:hAnsi="Tahoma" w:cs="Tahoma"/>
          <w:b/>
          <w:sz w:val="24"/>
          <w:szCs w:val="24"/>
          <w:lang w:val="pt"/>
        </w:rPr>
        <w:t xml:space="preserve">PRESIDENTE </w:t>
      </w:r>
      <w:r w:rsidR="00274539">
        <w:rPr>
          <w:rFonts w:ascii="Tahoma" w:hAnsi="Tahoma" w:cs="Tahoma"/>
          <w:b/>
          <w:sz w:val="24"/>
          <w:szCs w:val="24"/>
          <w:lang w:val="pt"/>
        </w:rPr>
        <w:t xml:space="preserve">DO </w:t>
      </w:r>
      <w:r w:rsidR="00941C4D" w:rsidRPr="007F50FA">
        <w:rPr>
          <w:rFonts w:ascii="Tahoma" w:hAnsi="Tahoma" w:cs="Tahoma"/>
          <w:b/>
          <w:sz w:val="24"/>
          <w:szCs w:val="24"/>
          <w:lang w:val="pt"/>
        </w:rPr>
        <w:t>CONSELHO REGIONAL DE OD</w:t>
      </w:r>
      <w:r w:rsidR="00E87816">
        <w:rPr>
          <w:rFonts w:ascii="Tahoma" w:hAnsi="Tahoma" w:cs="Tahoma"/>
          <w:b/>
          <w:sz w:val="24"/>
          <w:szCs w:val="24"/>
          <w:lang w:val="pt"/>
        </w:rPr>
        <w:t>O</w:t>
      </w:r>
      <w:r w:rsidR="00941C4D" w:rsidRPr="007F50FA">
        <w:rPr>
          <w:rFonts w:ascii="Tahoma" w:hAnsi="Tahoma" w:cs="Tahoma"/>
          <w:b/>
          <w:sz w:val="24"/>
          <w:szCs w:val="24"/>
          <w:lang w:val="pt"/>
        </w:rPr>
        <w:t xml:space="preserve">NTOLOGIA DO RIO GRANDE </w:t>
      </w:r>
      <w:r w:rsidR="00B82FE2">
        <w:rPr>
          <w:rFonts w:ascii="Tahoma" w:hAnsi="Tahoma" w:cs="Tahoma"/>
          <w:b/>
          <w:sz w:val="24"/>
          <w:szCs w:val="24"/>
          <w:lang w:val="pt"/>
        </w:rPr>
        <w:t>D</w:t>
      </w:r>
      <w:r w:rsidR="00941C4D" w:rsidRPr="007F50FA">
        <w:rPr>
          <w:rFonts w:ascii="Tahoma" w:hAnsi="Tahoma" w:cs="Tahoma"/>
          <w:b/>
          <w:sz w:val="24"/>
          <w:szCs w:val="24"/>
          <w:lang w:val="pt"/>
        </w:rPr>
        <w:t>O SUL</w:t>
      </w:r>
      <w:r w:rsidR="00941C4D" w:rsidRPr="007F50FA">
        <w:rPr>
          <w:rFonts w:ascii="Tahoma" w:hAnsi="Tahoma" w:cs="Tahoma"/>
          <w:sz w:val="24"/>
          <w:szCs w:val="24"/>
          <w:lang w:val="pt"/>
        </w:rPr>
        <w:t xml:space="preserve">, </w:t>
      </w:r>
      <w:r w:rsidR="00941C4D" w:rsidRPr="00274539">
        <w:rPr>
          <w:rFonts w:ascii="Tahoma" w:hAnsi="Tahoma" w:cs="Tahoma"/>
          <w:i/>
          <w:sz w:val="24"/>
          <w:szCs w:val="24"/>
          <w:lang w:val="pt"/>
        </w:rPr>
        <w:t>a</w:t>
      </w:r>
      <w:r w:rsidR="00274539" w:rsidRPr="00274539">
        <w:rPr>
          <w:rFonts w:ascii="Tahoma" w:hAnsi="Tahoma" w:cs="Tahoma"/>
          <w:i/>
          <w:sz w:val="24"/>
          <w:szCs w:val="24"/>
          <w:lang w:val="pt"/>
        </w:rPr>
        <w:t>d referendum</w:t>
      </w:r>
      <w:r w:rsidR="00274539">
        <w:rPr>
          <w:rFonts w:ascii="Tahoma" w:hAnsi="Tahoma" w:cs="Tahoma"/>
          <w:sz w:val="24"/>
          <w:szCs w:val="24"/>
          <w:lang w:val="pt"/>
        </w:rPr>
        <w:t xml:space="preserve"> do </w:t>
      </w:r>
      <w:r w:rsidR="00941C4D" w:rsidRPr="007F50FA">
        <w:rPr>
          <w:rFonts w:ascii="Tahoma" w:hAnsi="Tahoma" w:cs="Tahoma"/>
          <w:sz w:val="24"/>
          <w:szCs w:val="24"/>
          <w:lang w:val="pt"/>
        </w:rPr>
        <w:t xml:space="preserve">seu </w:t>
      </w:r>
      <w:r w:rsidRPr="007F50FA">
        <w:rPr>
          <w:rFonts w:ascii="Tahoma" w:hAnsi="Tahoma" w:cs="Tahoma"/>
          <w:sz w:val="24"/>
          <w:szCs w:val="24"/>
          <w:lang w:val="pt"/>
        </w:rPr>
        <w:t>Plenário</w:t>
      </w:r>
      <w:r w:rsidR="00941C4D" w:rsidRPr="007F50FA">
        <w:rPr>
          <w:rFonts w:ascii="Tahoma" w:hAnsi="Tahoma" w:cs="Tahoma"/>
          <w:sz w:val="24"/>
          <w:szCs w:val="24"/>
          <w:lang w:val="pt"/>
        </w:rPr>
        <w:t xml:space="preserve">, no </w:t>
      </w:r>
      <w:r w:rsidRPr="007F50FA">
        <w:rPr>
          <w:rFonts w:ascii="Tahoma" w:hAnsi="Tahoma" w:cs="Tahoma"/>
          <w:sz w:val="24"/>
          <w:szCs w:val="24"/>
          <w:lang w:val="pt"/>
        </w:rPr>
        <w:t>uso de suas atribuições e competências legais, em consonância com o Regimento Interno aprovado pela Decisão CFO nº 0</w:t>
      </w:r>
      <w:r w:rsidR="00317ABF">
        <w:rPr>
          <w:rFonts w:ascii="Tahoma" w:hAnsi="Tahoma" w:cs="Tahoma"/>
          <w:sz w:val="24"/>
          <w:szCs w:val="24"/>
          <w:lang w:val="pt"/>
        </w:rPr>
        <w:t>4</w:t>
      </w:r>
      <w:r w:rsidRPr="007F50FA">
        <w:rPr>
          <w:rFonts w:ascii="Tahoma" w:hAnsi="Tahoma" w:cs="Tahoma"/>
          <w:sz w:val="24"/>
          <w:szCs w:val="24"/>
          <w:lang w:val="pt"/>
        </w:rPr>
        <w:t>/20</w:t>
      </w:r>
      <w:r w:rsidR="00317ABF">
        <w:rPr>
          <w:rFonts w:ascii="Tahoma" w:hAnsi="Tahoma" w:cs="Tahoma"/>
          <w:sz w:val="24"/>
          <w:szCs w:val="24"/>
          <w:lang w:val="pt"/>
        </w:rPr>
        <w:t>22</w:t>
      </w:r>
      <w:r w:rsidRPr="007F50FA">
        <w:rPr>
          <w:rFonts w:ascii="Tahoma" w:hAnsi="Tahoma" w:cs="Tahoma"/>
          <w:sz w:val="24"/>
          <w:szCs w:val="24"/>
          <w:lang w:val="pt"/>
        </w:rPr>
        <w:t>.</w:t>
      </w:r>
    </w:p>
    <w:p w14:paraId="21A1102F" w14:textId="77777777" w:rsidR="009767F2" w:rsidRDefault="009767F2" w:rsidP="009767F2">
      <w:pPr>
        <w:autoSpaceDE w:val="0"/>
        <w:autoSpaceDN w:val="0"/>
        <w:adjustRightInd w:val="0"/>
        <w:spacing w:line="360" w:lineRule="auto"/>
        <w:jc w:val="both"/>
        <w:rPr>
          <w:rFonts w:ascii="Tahoma" w:hAnsi="Tahoma" w:cs="Tahoma"/>
          <w:sz w:val="24"/>
          <w:szCs w:val="24"/>
          <w:lang w:val="pt"/>
        </w:rPr>
      </w:pPr>
      <w:r w:rsidRPr="00F50D3A">
        <w:rPr>
          <w:rFonts w:ascii="Tahoma" w:hAnsi="Tahoma" w:cs="Tahoma"/>
          <w:b/>
          <w:bCs/>
          <w:sz w:val="24"/>
          <w:szCs w:val="24"/>
          <w:lang w:val="pt"/>
        </w:rPr>
        <w:t>C</w:t>
      </w:r>
      <w:r w:rsidR="00922F84" w:rsidRPr="00F50D3A">
        <w:rPr>
          <w:rFonts w:ascii="Tahoma" w:hAnsi="Tahoma" w:cs="Tahoma"/>
          <w:b/>
          <w:bCs/>
          <w:sz w:val="24"/>
          <w:szCs w:val="24"/>
          <w:lang w:val="pt"/>
        </w:rPr>
        <w:t>ONSIDERANDO</w:t>
      </w:r>
      <w:r w:rsidRPr="00F50D3A">
        <w:rPr>
          <w:rFonts w:ascii="Tahoma" w:hAnsi="Tahoma" w:cs="Tahoma"/>
          <w:b/>
          <w:bCs/>
          <w:sz w:val="24"/>
          <w:szCs w:val="24"/>
          <w:lang w:val="pt"/>
        </w:rPr>
        <w:t xml:space="preserve"> </w:t>
      </w:r>
      <w:r w:rsidRPr="00F50D3A">
        <w:rPr>
          <w:rFonts w:ascii="Tahoma" w:hAnsi="Tahoma" w:cs="Tahoma"/>
          <w:sz w:val="24"/>
          <w:szCs w:val="24"/>
          <w:lang w:val="pt"/>
        </w:rPr>
        <w:t>o disposto no artigo 1</w:t>
      </w:r>
      <w:r w:rsidR="00274539">
        <w:rPr>
          <w:rFonts w:ascii="Tahoma" w:hAnsi="Tahoma" w:cs="Tahoma"/>
          <w:sz w:val="24"/>
          <w:szCs w:val="24"/>
          <w:lang w:val="pt"/>
        </w:rPr>
        <w:t>1</w:t>
      </w:r>
      <w:r w:rsidRPr="00F50D3A">
        <w:rPr>
          <w:rFonts w:ascii="Tahoma" w:hAnsi="Tahoma" w:cs="Tahoma"/>
          <w:sz w:val="24"/>
          <w:szCs w:val="24"/>
          <w:lang w:val="pt"/>
        </w:rPr>
        <w:t xml:space="preserve"> da Lei 4.324/64;</w:t>
      </w:r>
    </w:p>
    <w:p w14:paraId="1FCA68C4" w14:textId="162A7AC2" w:rsidR="003137E1" w:rsidRDefault="00F20AF5" w:rsidP="00F20AF5">
      <w:pPr>
        <w:spacing w:after="0" w:line="360" w:lineRule="auto"/>
        <w:jc w:val="both"/>
        <w:rPr>
          <w:rFonts w:ascii="Tahoma" w:hAnsi="Tahoma" w:cs="Tahoma"/>
          <w:sz w:val="24"/>
          <w:szCs w:val="24"/>
        </w:rPr>
      </w:pPr>
      <w:r w:rsidRPr="00F50D3A">
        <w:rPr>
          <w:rFonts w:ascii="Tahoma" w:hAnsi="Tahoma" w:cs="Tahoma"/>
          <w:b/>
          <w:bCs/>
          <w:sz w:val="24"/>
          <w:szCs w:val="24"/>
        </w:rPr>
        <w:t>CONSIDERANDO</w:t>
      </w:r>
      <w:r w:rsidR="00537E20">
        <w:rPr>
          <w:rFonts w:ascii="Tahoma" w:hAnsi="Tahoma" w:cs="Tahoma"/>
          <w:b/>
          <w:bCs/>
          <w:sz w:val="24"/>
          <w:szCs w:val="24"/>
        </w:rPr>
        <w:t xml:space="preserve"> </w:t>
      </w:r>
      <w:r w:rsidR="00537E20" w:rsidRPr="00537E20">
        <w:rPr>
          <w:rFonts w:ascii="Tahoma" w:hAnsi="Tahoma" w:cs="Tahoma"/>
          <w:sz w:val="24"/>
          <w:szCs w:val="24"/>
        </w:rPr>
        <w:t>as atribuições previstas no artigo</w:t>
      </w:r>
      <w:r w:rsidRPr="00F50D3A">
        <w:rPr>
          <w:rFonts w:ascii="Tahoma" w:hAnsi="Tahoma" w:cs="Tahoma"/>
          <w:sz w:val="24"/>
          <w:szCs w:val="24"/>
        </w:rPr>
        <w:t xml:space="preserve"> </w:t>
      </w:r>
      <w:r w:rsidR="00537E20">
        <w:rPr>
          <w:rFonts w:ascii="Tahoma" w:hAnsi="Tahoma" w:cs="Tahoma"/>
          <w:sz w:val="24"/>
          <w:szCs w:val="24"/>
        </w:rPr>
        <w:t>67, inciso XIII do regimento interno do CRO/RS;</w:t>
      </w:r>
    </w:p>
    <w:p w14:paraId="2CB26A8C" w14:textId="77777777" w:rsidR="00537E20" w:rsidRDefault="00537E20" w:rsidP="00F20AF5">
      <w:pPr>
        <w:spacing w:after="0" w:line="360" w:lineRule="auto"/>
        <w:jc w:val="both"/>
        <w:rPr>
          <w:rFonts w:ascii="Tahoma" w:hAnsi="Tahoma" w:cs="Tahoma"/>
          <w:b/>
          <w:bCs/>
          <w:sz w:val="24"/>
          <w:szCs w:val="24"/>
        </w:rPr>
      </w:pPr>
    </w:p>
    <w:p w14:paraId="7E7639F0" w14:textId="0C1B2A8E" w:rsidR="00537E20" w:rsidRDefault="00F20AF5" w:rsidP="00F20AF5">
      <w:pPr>
        <w:spacing w:after="0" w:line="360" w:lineRule="auto"/>
        <w:jc w:val="both"/>
        <w:rPr>
          <w:rFonts w:ascii="Tahoma" w:hAnsi="Tahoma" w:cs="Tahoma"/>
          <w:sz w:val="24"/>
          <w:szCs w:val="24"/>
        </w:rPr>
      </w:pPr>
      <w:r w:rsidRPr="00F50D3A">
        <w:rPr>
          <w:rFonts w:ascii="Tahoma" w:hAnsi="Tahoma" w:cs="Tahoma"/>
          <w:b/>
          <w:bCs/>
          <w:sz w:val="24"/>
          <w:szCs w:val="24"/>
        </w:rPr>
        <w:t xml:space="preserve">CONSIDERANDO </w:t>
      </w:r>
      <w:r w:rsidR="00537E20" w:rsidRPr="00537E20">
        <w:rPr>
          <w:rFonts w:ascii="Tahoma" w:hAnsi="Tahoma" w:cs="Tahoma"/>
          <w:sz w:val="24"/>
          <w:szCs w:val="24"/>
        </w:rPr>
        <w:t xml:space="preserve">o Oficio </w:t>
      </w:r>
      <w:r w:rsidR="00537E20">
        <w:rPr>
          <w:rFonts w:ascii="Tahoma" w:hAnsi="Tahoma" w:cs="Tahoma"/>
          <w:sz w:val="24"/>
          <w:szCs w:val="24"/>
        </w:rPr>
        <w:t xml:space="preserve">nº 1381/2025/CGAA11/SGA1/SG/CADE recebido nesse regional no dia 10 de </w:t>
      </w:r>
      <w:r w:rsidR="00B82FE2">
        <w:rPr>
          <w:rFonts w:ascii="Tahoma" w:hAnsi="Tahoma" w:cs="Tahoma"/>
          <w:sz w:val="24"/>
          <w:szCs w:val="24"/>
        </w:rPr>
        <w:t>março</w:t>
      </w:r>
      <w:r w:rsidR="00537E20">
        <w:rPr>
          <w:rFonts w:ascii="Tahoma" w:hAnsi="Tahoma" w:cs="Tahoma"/>
          <w:sz w:val="24"/>
          <w:szCs w:val="24"/>
        </w:rPr>
        <w:t xml:space="preserve"> de 2025</w:t>
      </w:r>
      <w:r w:rsidR="00B82FE2">
        <w:rPr>
          <w:rFonts w:ascii="Tahoma" w:hAnsi="Tahoma" w:cs="Tahoma"/>
          <w:sz w:val="24"/>
          <w:szCs w:val="24"/>
        </w:rPr>
        <w:t>,</w:t>
      </w:r>
      <w:r w:rsidR="00537E20">
        <w:rPr>
          <w:rFonts w:ascii="Tahoma" w:hAnsi="Tahoma" w:cs="Tahoma"/>
          <w:sz w:val="24"/>
          <w:szCs w:val="24"/>
        </w:rPr>
        <w:t xml:space="preserve"> que notifica o CRO/RS acerca de medidas preventivas que devem ser cumpridas pelo regional sob pena de multas diárias;</w:t>
      </w:r>
    </w:p>
    <w:p w14:paraId="05B69F3D" w14:textId="77777777" w:rsidR="00537E20" w:rsidRDefault="00537E20" w:rsidP="00F20AF5">
      <w:pPr>
        <w:spacing w:after="0" w:line="360" w:lineRule="auto"/>
        <w:jc w:val="both"/>
        <w:rPr>
          <w:rFonts w:ascii="Tahoma" w:hAnsi="Tahoma" w:cs="Tahoma"/>
          <w:sz w:val="24"/>
          <w:szCs w:val="24"/>
        </w:rPr>
      </w:pPr>
    </w:p>
    <w:p w14:paraId="2CC791AC" w14:textId="4C68F9BE" w:rsidR="008E7AAC" w:rsidRPr="008E7AAC" w:rsidRDefault="00537E20" w:rsidP="008E7AAC">
      <w:pPr>
        <w:spacing w:after="0" w:line="360" w:lineRule="auto"/>
        <w:jc w:val="both"/>
        <w:rPr>
          <w:rFonts w:ascii="Tahoma" w:hAnsi="Tahoma" w:cs="Tahoma"/>
          <w:sz w:val="24"/>
          <w:szCs w:val="24"/>
        </w:rPr>
      </w:pPr>
      <w:r w:rsidRPr="008E7AAC">
        <w:rPr>
          <w:rFonts w:ascii="Tahoma" w:hAnsi="Tahoma" w:cs="Tahoma"/>
          <w:b/>
          <w:bCs/>
          <w:sz w:val="24"/>
          <w:szCs w:val="24"/>
        </w:rPr>
        <w:t>CONSIDERANDO</w:t>
      </w:r>
      <w:r>
        <w:rPr>
          <w:rFonts w:ascii="Tahoma" w:hAnsi="Tahoma" w:cs="Tahoma"/>
          <w:sz w:val="24"/>
          <w:szCs w:val="24"/>
        </w:rPr>
        <w:t xml:space="preserve"> que o CRO/RS não foi parte nos autos do processo administrativo nº </w:t>
      </w:r>
      <w:r w:rsidR="008E7AAC" w:rsidRPr="008E7AAC">
        <w:rPr>
          <w:rFonts w:ascii="Tahoma" w:hAnsi="Tahoma" w:cs="Tahoma"/>
          <w:sz w:val="24"/>
          <w:szCs w:val="24"/>
        </w:rPr>
        <w:t>08700.002535/2020-91</w:t>
      </w:r>
      <w:r w:rsidR="008E7AAC">
        <w:rPr>
          <w:rFonts w:ascii="Tahoma" w:hAnsi="Tahoma" w:cs="Tahoma"/>
          <w:sz w:val="24"/>
          <w:szCs w:val="24"/>
        </w:rPr>
        <w:t xml:space="preserve"> promovido pelo CADE em desfavor do CRO/MG e CFO e que nos autos do inquérito administrativo </w:t>
      </w:r>
      <w:r w:rsidR="008E7AAC" w:rsidRPr="008E7AAC">
        <w:rPr>
          <w:rFonts w:ascii="Tahoma" w:hAnsi="Tahoma" w:cs="Tahoma"/>
          <w:sz w:val="24"/>
          <w:szCs w:val="24"/>
        </w:rPr>
        <w:t>08700.008995/2023-76</w:t>
      </w:r>
      <w:r w:rsidR="008E7AAC">
        <w:rPr>
          <w:rFonts w:ascii="Tahoma" w:hAnsi="Tahoma" w:cs="Tahoma"/>
          <w:sz w:val="24"/>
          <w:szCs w:val="24"/>
        </w:rPr>
        <w:t xml:space="preserve"> promovido em desfavor desse CRO/RS não houve oportunidade de contraditório e ampla defesa; </w:t>
      </w:r>
    </w:p>
    <w:p w14:paraId="09F19A0F" w14:textId="6E36A62E" w:rsidR="00537E20" w:rsidRPr="00537E20" w:rsidRDefault="00537E20" w:rsidP="00F20AF5">
      <w:pPr>
        <w:spacing w:after="0" w:line="360" w:lineRule="auto"/>
        <w:jc w:val="both"/>
        <w:rPr>
          <w:rFonts w:ascii="Tahoma" w:hAnsi="Tahoma" w:cs="Tahoma"/>
          <w:sz w:val="24"/>
          <w:szCs w:val="24"/>
        </w:rPr>
      </w:pPr>
    </w:p>
    <w:p w14:paraId="4C5D47EE" w14:textId="77777777" w:rsidR="00F20AF5" w:rsidRPr="00F50D3A" w:rsidRDefault="00F20AF5" w:rsidP="00F50D3A">
      <w:pPr>
        <w:spacing w:after="0" w:line="360" w:lineRule="auto"/>
        <w:rPr>
          <w:rFonts w:ascii="Tahoma" w:eastAsia="Times New Roman" w:hAnsi="Tahoma" w:cs="Tahoma"/>
          <w:iCs/>
          <w:sz w:val="24"/>
          <w:szCs w:val="24"/>
        </w:rPr>
      </w:pPr>
      <w:r w:rsidRPr="00F50D3A">
        <w:rPr>
          <w:rFonts w:ascii="Tahoma" w:eastAsia="Times New Roman" w:hAnsi="Tahoma" w:cs="Tahoma"/>
          <w:b/>
          <w:bCs/>
          <w:iCs/>
          <w:sz w:val="24"/>
          <w:szCs w:val="24"/>
        </w:rPr>
        <w:t>DECIDE</w:t>
      </w:r>
      <w:r w:rsidRPr="00F50D3A">
        <w:rPr>
          <w:rFonts w:ascii="Tahoma" w:eastAsia="Times New Roman" w:hAnsi="Tahoma" w:cs="Tahoma"/>
          <w:iCs/>
          <w:sz w:val="24"/>
          <w:szCs w:val="24"/>
        </w:rPr>
        <w:t>:</w:t>
      </w:r>
    </w:p>
    <w:p w14:paraId="0B54A8A2" w14:textId="32EF7C48" w:rsidR="008E7AAC" w:rsidRDefault="00F20AF5" w:rsidP="00EA7CD2">
      <w:pPr>
        <w:spacing w:after="0" w:line="360" w:lineRule="auto"/>
        <w:jc w:val="both"/>
        <w:rPr>
          <w:rFonts w:ascii="Tahoma" w:eastAsia="Times New Roman" w:hAnsi="Tahoma" w:cs="Tahoma"/>
          <w:iCs/>
          <w:sz w:val="24"/>
          <w:szCs w:val="24"/>
        </w:rPr>
      </w:pPr>
      <w:r w:rsidRPr="00F50D3A">
        <w:rPr>
          <w:rFonts w:ascii="Tahoma" w:eastAsia="Times New Roman" w:hAnsi="Tahoma" w:cs="Tahoma"/>
          <w:iCs/>
          <w:sz w:val="24"/>
          <w:szCs w:val="24"/>
        </w:rPr>
        <w:tab/>
      </w:r>
      <w:r w:rsidRPr="00F50D3A">
        <w:rPr>
          <w:rFonts w:ascii="Tahoma" w:eastAsia="Times New Roman" w:hAnsi="Tahoma" w:cs="Tahoma"/>
          <w:iCs/>
          <w:sz w:val="24"/>
          <w:szCs w:val="24"/>
        </w:rPr>
        <w:tab/>
      </w:r>
      <w:r w:rsidRPr="00F50D3A">
        <w:rPr>
          <w:rFonts w:ascii="Tahoma" w:eastAsia="Times New Roman" w:hAnsi="Tahoma" w:cs="Tahoma"/>
          <w:iCs/>
          <w:sz w:val="24"/>
          <w:szCs w:val="24"/>
        </w:rPr>
        <w:tab/>
      </w:r>
      <w:r w:rsidRPr="00F50D3A">
        <w:rPr>
          <w:rFonts w:ascii="Tahoma" w:eastAsia="Times New Roman" w:hAnsi="Tahoma" w:cs="Tahoma"/>
          <w:b/>
          <w:bCs/>
          <w:iCs/>
          <w:sz w:val="24"/>
          <w:szCs w:val="24"/>
        </w:rPr>
        <w:t>Art.1º</w:t>
      </w:r>
      <w:r w:rsidR="003D3EA1">
        <w:rPr>
          <w:rFonts w:ascii="Tahoma" w:eastAsia="Times New Roman" w:hAnsi="Tahoma" w:cs="Tahoma"/>
          <w:b/>
          <w:bCs/>
          <w:iCs/>
          <w:sz w:val="24"/>
          <w:szCs w:val="24"/>
        </w:rPr>
        <w:t>.</w:t>
      </w:r>
      <w:r w:rsidR="00EA7CD2">
        <w:rPr>
          <w:rFonts w:ascii="Tahoma" w:eastAsia="Times New Roman" w:hAnsi="Tahoma" w:cs="Tahoma"/>
          <w:b/>
          <w:bCs/>
          <w:iCs/>
          <w:sz w:val="24"/>
          <w:szCs w:val="24"/>
        </w:rPr>
        <w:t xml:space="preserve"> </w:t>
      </w:r>
      <w:r w:rsidR="00537E20" w:rsidRPr="00537E20">
        <w:rPr>
          <w:rFonts w:ascii="Tahoma" w:eastAsia="Times New Roman" w:hAnsi="Tahoma" w:cs="Tahoma"/>
          <w:iCs/>
          <w:sz w:val="24"/>
          <w:szCs w:val="24"/>
        </w:rPr>
        <w:t>Pela imediata remoção das republicações do CFO, referidas no ofício através do link</w:t>
      </w:r>
      <w:r w:rsidR="008E7AAC">
        <w:rPr>
          <w:rFonts w:ascii="Tahoma" w:eastAsia="Times New Roman" w:hAnsi="Tahoma" w:cs="Tahoma"/>
          <w:iCs/>
          <w:sz w:val="24"/>
          <w:szCs w:val="24"/>
        </w:rPr>
        <w:t xml:space="preserve"> </w:t>
      </w:r>
      <w:hyperlink r:id="rId8" w:history="1">
        <w:r w:rsidR="008E7AAC" w:rsidRPr="00525C93">
          <w:rPr>
            <w:rStyle w:val="Hyperlink"/>
            <w:rFonts w:ascii="Tahoma" w:eastAsia="Times New Roman" w:hAnsi="Tahoma" w:cs="Tahoma"/>
            <w:iCs/>
            <w:sz w:val="24"/>
            <w:szCs w:val="24"/>
          </w:rPr>
          <w:t>https://www.instagram.com/p/Cz8tm7fOdiD/?img_index=1</w:t>
        </w:r>
      </w:hyperlink>
      <w:r w:rsidR="008E7AAC">
        <w:rPr>
          <w:rFonts w:ascii="Tahoma" w:eastAsia="Times New Roman" w:hAnsi="Tahoma" w:cs="Tahoma"/>
          <w:iCs/>
          <w:sz w:val="24"/>
          <w:szCs w:val="24"/>
        </w:rPr>
        <w:t>, bem como todas as demais por ventura associem concessão/permissão de descontos em serviços odontológicos como ilícito ou conduta antiética em cumprimento ao item I das medidas preventivas;</w:t>
      </w:r>
    </w:p>
    <w:p w14:paraId="1AC424AE" w14:textId="7FF594A6" w:rsidR="00537E20" w:rsidRPr="00537E20" w:rsidRDefault="008E7AAC" w:rsidP="00EA7CD2">
      <w:pPr>
        <w:spacing w:after="0" w:line="360" w:lineRule="auto"/>
        <w:jc w:val="both"/>
        <w:rPr>
          <w:rFonts w:ascii="Tahoma" w:eastAsia="Times New Roman" w:hAnsi="Tahoma" w:cs="Tahoma"/>
          <w:iCs/>
          <w:sz w:val="24"/>
          <w:szCs w:val="24"/>
        </w:rPr>
      </w:pPr>
      <w:r>
        <w:rPr>
          <w:rFonts w:ascii="Tahoma" w:eastAsia="Times New Roman" w:hAnsi="Tahoma" w:cs="Tahoma"/>
          <w:iCs/>
          <w:sz w:val="24"/>
          <w:szCs w:val="24"/>
        </w:rPr>
        <w:t xml:space="preserve"> </w:t>
      </w:r>
    </w:p>
    <w:p w14:paraId="35BDDC4C" w14:textId="189003AF" w:rsidR="008E7AAC" w:rsidRDefault="00F20AF5" w:rsidP="00EA7CD2">
      <w:pPr>
        <w:spacing w:after="0" w:line="360" w:lineRule="auto"/>
        <w:jc w:val="both"/>
        <w:rPr>
          <w:rFonts w:ascii="Tahoma" w:eastAsia="Times New Roman" w:hAnsi="Tahoma" w:cs="Tahoma"/>
          <w:iCs/>
          <w:sz w:val="24"/>
          <w:szCs w:val="24"/>
        </w:rPr>
      </w:pPr>
      <w:r w:rsidRPr="00F50D3A">
        <w:rPr>
          <w:rFonts w:ascii="Tahoma" w:eastAsia="Times New Roman" w:hAnsi="Tahoma" w:cs="Tahoma"/>
          <w:iCs/>
          <w:sz w:val="24"/>
          <w:szCs w:val="24"/>
        </w:rPr>
        <w:tab/>
      </w:r>
      <w:r w:rsidRPr="00F50D3A">
        <w:rPr>
          <w:rFonts w:ascii="Tahoma" w:eastAsia="Times New Roman" w:hAnsi="Tahoma" w:cs="Tahoma"/>
          <w:iCs/>
          <w:sz w:val="24"/>
          <w:szCs w:val="24"/>
        </w:rPr>
        <w:tab/>
      </w:r>
      <w:r w:rsidRPr="00F50D3A">
        <w:rPr>
          <w:rFonts w:ascii="Tahoma" w:eastAsia="Times New Roman" w:hAnsi="Tahoma" w:cs="Tahoma"/>
          <w:iCs/>
          <w:sz w:val="24"/>
          <w:szCs w:val="24"/>
        </w:rPr>
        <w:tab/>
      </w:r>
      <w:r w:rsidRPr="00F50D3A">
        <w:rPr>
          <w:rFonts w:ascii="Tahoma" w:eastAsia="Times New Roman" w:hAnsi="Tahoma" w:cs="Tahoma"/>
          <w:b/>
          <w:bCs/>
          <w:iCs/>
          <w:sz w:val="24"/>
          <w:szCs w:val="24"/>
        </w:rPr>
        <w:t>Art. 2º</w:t>
      </w:r>
      <w:r w:rsidR="003D3EA1">
        <w:rPr>
          <w:rFonts w:ascii="Tahoma" w:eastAsia="Times New Roman" w:hAnsi="Tahoma" w:cs="Tahoma"/>
          <w:b/>
          <w:bCs/>
          <w:iCs/>
          <w:sz w:val="24"/>
          <w:szCs w:val="24"/>
        </w:rPr>
        <w:t>.</w:t>
      </w:r>
      <w:r w:rsidRPr="00F50D3A">
        <w:rPr>
          <w:rFonts w:ascii="Tahoma" w:eastAsia="Times New Roman" w:hAnsi="Tahoma" w:cs="Tahoma"/>
          <w:iCs/>
          <w:sz w:val="24"/>
          <w:szCs w:val="24"/>
        </w:rPr>
        <w:t xml:space="preserve"> </w:t>
      </w:r>
      <w:r w:rsidR="008E7AAC">
        <w:rPr>
          <w:rFonts w:ascii="Tahoma" w:eastAsia="Times New Roman" w:hAnsi="Tahoma" w:cs="Tahoma"/>
          <w:iCs/>
          <w:sz w:val="24"/>
          <w:szCs w:val="24"/>
        </w:rPr>
        <w:t xml:space="preserve">Manter-se a suspensão administrativa dos processos de fiscalização e éticos que remetam ao descumprimento dos artigos 20, VIII e X; artigo 32, XIII e artigo 44, XIV, nos termos da ata de reunião SEFISC nº 52, datada de 07/06/2024; </w:t>
      </w:r>
    </w:p>
    <w:p w14:paraId="0C587F63" w14:textId="77777777" w:rsidR="008E7AAC" w:rsidRDefault="008E7AAC" w:rsidP="00EA7CD2">
      <w:pPr>
        <w:spacing w:after="0" w:line="360" w:lineRule="auto"/>
        <w:jc w:val="both"/>
        <w:rPr>
          <w:rFonts w:ascii="Tahoma" w:eastAsia="Times New Roman" w:hAnsi="Tahoma" w:cs="Tahoma"/>
          <w:iCs/>
          <w:sz w:val="24"/>
          <w:szCs w:val="24"/>
        </w:rPr>
      </w:pPr>
    </w:p>
    <w:p w14:paraId="423CAE73" w14:textId="093C53EB" w:rsidR="002A38FC" w:rsidRDefault="00E03FD4" w:rsidP="00E03FD4">
      <w:pPr>
        <w:spacing w:after="0" w:line="360" w:lineRule="auto"/>
        <w:ind w:firstLine="2127"/>
        <w:jc w:val="both"/>
        <w:rPr>
          <w:rFonts w:ascii="Tahoma" w:hAnsi="Tahoma" w:cs="Tahoma"/>
          <w:sz w:val="24"/>
          <w:szCs w:val="24"/>
        </w:rPr>
      </w:pPr>
      <w:r w:rsidRPr="00E03FD4">
        <w:rPr>
          <w:rFonts w:ascii="Tahoma" w:hAnsi="Tahoma" w:cs="Tahoma"/>
          <w:b/>
          <w:bCs/>
          <w:sz w:val="24"/>
          <w:szCs w:val="24"/>
        </w:rPr>
        <w:lastRenderedPageBreak/>
        <w:t xml:space="preserve">Art. </w:t>
      </w:r>
      <w:r w:rsidR="008E7AAC">
        <w:rPr>
          <w:rFonts w:ascii="Tahoma" w:hAnsi="Tahoma" w:cs="Tahoma"/>
          <w:b/>
          <w:bCs/>
          <w:sz w:val="24"/>
          <w:szCs w:val="24"/>
        </w:rPr>
        <w:t>3</w:t>
      </w:r>
      <w:r w:rsidRPr="00E03FD4">
        <w:rPr>
          <w:rFonts w:ascii="Tahoma" w:hAnsi="Tahoma" w:cs="Tahoma"/>
          <w:b/>
          <w:bCs/>
          <w:sz w:val="24"/>
          <w:szCs w:val="24"/>
        </w:rPr>
        <w:t>º</w:t>
      </w:r>
      <w:r>
        <w:rPr>
          <w:rFonts w:ascii="Tahoma" w:hAnsi="Tahoma" w:cs="Tahoma"/>
          <w:sz w:val="24"/>
          <w:szCs w:val="24"/>
        </w:rPr>
        <w:t xml:space="preserve"> </w:t>
      </w:r>
      <w:r w:rsidR="008E7AAC">
        <w:rPr>
          <w:rFonts w:ascii="Tahoma" w:hAnsi="Tahoma" w:cs="Tahoma"/>
          <w:sz w:val="24"/>
          <w:szCs w:val="24"/>
        </w:rPr>
        <w:t xml:space="preserve">Quanto as demais medidas preventivas determinadas </w:t>
      </w:r>
      <w:r w:rsidR="002A38FC">
        <w:rPr>
          <w:rFonts w:ascii="Tahoma" w:hAnsi="Tahoma" w:cs="Tahoma"/>
          <w:sz w:val="24"/>
          <w:szCs w:val="24"/>
        </w:rPr>
        <w:t xml:space="preserve">pelo CADE no </w:t>
      </w:r>
      <w:r w:rsidR="002A38FC" w:rsidRPr="00537E20">
        <w:rPr>
          <w:rFonts w:ascii="Tahoma" w:hAnsi="Tahoma" w:cs="Tahoma"/>
          <w:sz w:val="24"/>
          <w:szCs w:val="24"/>
        </w:rPr>
        <w:t xml:space="preserve">Oficio </w:t>
      </w:r>
      <w:r w:rsidR="002A38FC">
        <w:rPr>
          <w:rFonts w:ascii="Tahoma" w:hAnsi="Tahoma" w:cs="Tahoma"/>
          <w:sz w:val="24"/>
          <w:szCs w:val="24"/>
        </w:rPr>
        <w:t>nº 1381/2025/CGAA11/SGA1/SG/CADE</w:t>
      </w:r>
      <w:r w:rsidR="002A38FC">
        <w:rPr>
          <w:rFonts w:ascii="Tahoma" w:hAnsi="Tahoma" w:cs="Tahoma"/>
          <w:sz w:val="24"/>
          <w:szCs w:val="24"/>
        </w:rPr>
        <w:t xml:space="preserve">, determinar a Procuradoria Jurídica que ingresse com as medidas administrativas e judiciais cabíveis para buscar a reforma da decisão frente ao previsto na Lei 5081/66 e decisões judiciais do TRF da 4ª Região; </w:t>
      </w:r>
    </w:p>
    <w:p w14:paraId="0A0EB7CF" w14:textId="77777777" w:rsidR="002A38FC" w:rsidRDefault="002A38FC" w:rsidP="00E03FD4">
      <w:pPr>
        <w:spacing w:after="0" w:line="360" w:lineRule="auto"/>
        <w:ind w:firstLine="2127"/>
        <w:jc w:val="both"/>
        <w:rPr>
          <w:rFonts w:ascii="Tahoma" w:hAnsi="Tahoma" w:cs="Tahoma"/>
          <w:sz w:val="24"/>
          <w:szCs w:val="24"/>
        </w:rPr>
      </w:pPr>
    </w:p>
    <w:p w14:paraId="279E8875" w14:textId="3419BB82" w:rsidR="002A38FC" w:rsidRDefault="00F20AF5" w:rsidP="00F20AF5">
      <w:pPr>
        <w:spacing w:after="0" w:line="360" w:lineRule="auto"/>
        <w:jc w:val="both"/>
        <w:rPr>
          <w:rFonts w:ascii="Tahoma" w:eastAsia="Times New Roman" w:hAnsi="Tahoma" w:cs="Tahoma"/>
          <w:iCs/>
          <w:sz w:val="24"/>
          <w:szCs w:val="24"/>
        </w:rPr>
      </w:pPr>
      <w:r w:rsidRPr="00F50D3A">
        <w:rPr>
          <w:rFonts w:ascii="Tahoma" w:eastAsia="Times New Roman" w:hAnsi="Tahoma" w:cs="Tahoma"/>
          <w:iCs/>
          <w:sz w:val="24"/>
          <w:szCs w:val="24"/>
        </w:rPr>
        <w:tab/>
      </w:r>
      <w:r w:rsidRPr="00F50D3A">
        <w:rPr>
          <w:rFonts w:ascii="Tahoma" w:eastAsia="Times New Roman" w:hAnsi="Tahoma" w:cs="Tahoma"/>
          <w:iCs/>
          <w:sz w:val="24"/>
          <w:szCs w:val="24"/>
        </w:rPr>
        <w:tab/>
      </w:r>
      <w:r w:rsidRPr="00F50D3A">
        <w:rPr>
          <w:rFonts w:ascii="Tahoma" w:eastAsia="Times New Roman" w:hAnsi="Tahoma" w:cs="Tahoma"/>
          <w:iCs/>
          <w:sz w:val="24"/>
          <w:szCs w:val="24"/>
        </w:rPr>
        <w:tab/>
      </w:r>
      <w:r w:rsidRPr="00F50D3A">
        <w:rPr>
          <w:rFonts w:ascii="Tahoma" w:eastAsia="Times New Roman" w:hAnsi="Tahoma" w:cs="Tahoma"/>
          <w:b/>
          <w:bCs/>
          <w:iCs/>
          <w:sz w:val="24"/>
          <w:szCs w:val="24"/>
        </w:rPr>
        <w:t xml:space="preserve">Art. </w:t>
      </w:r>
      <w:r w:rsidR="002A38FC">
        <w:rPr>
          <w:rFonts w:ascii="Tahoma" w:eastAsia="Times New Roman" w:hAnsi="Tahoma" w:cs="Tahoma"/>
          <w:b/>
          <w:bCs/>
          <w:iCs/>
          <w:sz w:val="24"/>
          <w:szCs w:val="24"/>
        </w:rPr>
        <w:t>4</w:t>
      </w:r>
      <w:r w:rsidRPr="00F50D3A">
        <w:rPr>
          <w:rFonts w:ascii="Tahoma" w:eastAsia="Times New Roman" w:hAnsi="Tahoma" w:cs="Tahoma"/>
          <w:b/>
          <w:bCs/>
          <w:iCs/>
          <w:sz w:val="24"/>
          <w:szCs w:val="24"/>
        </w:rPr>
        <w:t>º</w:t>
      </w:r>
      <w:r w:rsidRPr="00F50D3A">
        <w:rPr>
          <w:rFonts w:ascii="Tahoma" w:eastAsia="Times New Roman" w:hAnsi="Tahoma" w:cs="Tahoma"/>
          <w:iCs/>
          <w:sz w:val="24"/>
          <w:szCs w:val="24"/>
        </w:rPr>
        <w:t xml:space="preserve"> </w:t>
      </w:r>
      <w:r w:rsidR="002A38FC">
        <w:rPr>
          <w:rFonts w:ascii="Tahoma" w:eastAsia="Times New Roman" w:hAnsi="Tahoma" w:cs="Tahoma"/>
          <w:iCs/>
          <w:sz w:val="24"/>
          <w:szCs w:val="24"/>
        </w:rPr>
        <w:t>Não sendo deferida uma medida liminar em tempo de cessar os efeitos da decisão preventiva, devem os setores responsáveis providenciar na publicação da decisão CADE nas redes sociais do conselho, bem como no encaminhamento de e-mail marketing a todos os inscritos cadastrados e o preenchimento da planilha encaminhada, considerando a atribuição de pena diária pelo descumprimento.</w:t>
      </w:r>
    </w:p>
    <w:p w14:paraId="755FB54A" w14:textId="77777777" w:rsidR="002A38FC" w:rsidRDefault="002A38FC" w:rsidP="00D626B1">
      <w:pPr>
        <w:spacing w:after="0" w:line="360" w:lineRule="auto"/>
        <w:ind w:firstLine="2127"/>
        <w:jc w:val="both"/>
        <w:rPr>
          <w:rFonts w:ascii="Tahoma" w:eastAsia="Times New Roman" w:hAnsi="Tahoma" w:cs="Tahoma"/>
          <w:b/>
          <w:bCs/>
          <w:iCs/>
          <w:sz w:val="24"/>
          <w:szCs w:val="24"/>
        </w:rPr>
      </w:pPr>
    </w:p>
    <w:p w14:paraId="28FC363E" w14:textId="2A5F4383" w:rsidR="009767F2" w:rsidRPr="00D626B1" w:rsidRDefault="00D626B1" w:rsidP="00D626B1">
      <w:pPr>
        <w:spacing w:after="0" w:line="360" w:lineRule="auto"/>
        <w:ind w:firstLine="2127"/>
        <w:jc w:val="both"/>
        <w:rPr>
          <w:rFonts w:ascii="Tahoma" w:eastAsia="Times New Roman" w:hAnsi="Tahoma" w:cs="Tahoma"/>
          <w:b/>
          <w:bCs/>
          <w:iCs/>
          <w:sz w:val="24"/>
          <w:szCs w:val="24"/>
        </w:rPr>
      </w:pPr>
      <w:r w:rsidRPr="00F50D3A">
        <w:rPr>
          <w:rFonts w:ascii="Tahoma" w:eastAsia="Times New Roman" w:hAnsi="Tahoma" w:cs="Tahoma"/>
          <w:b/>
          <w:bCs/>
          <w:iCs/>
          <w:sz w:val="24"/>
          <w:szCs w:val="24"/>
        </w:rPr>
        <w:t xml:space="preserve">Art. </w:t>
      </w:r>
      <w:r w:rsidR="002A38FC">
        <w:rPr>
          <w:rFonts w:ascii="Tahoma" w:eastAsia="Times New Roman" w:hAnsi="Tahoma" w:cs="Tahoma"/>
          <w:b/>
          <w:bCs/>
          <w:iCs/>
          <w:sz w:val="24"/>
          <w:szCs w:val="24"/>
        </w:rPr>
        <w:t>5</w:t>
      </w:r>
      <w:r w:rsidRPr="00F50D3A">
        <w:rPr>
          <w:rFonts w:ascii="Tahoma" w:eastAsia="Times New Roman" w:hAnsi="Tahoma" w:cs="Tahoma"/>
          <w:b/>
          <w:bCs/>
          <w:iCs/>
          <w:sz w:val="24"/>
          <w:szCs w:val="24"/>
        </w:rPr>
        <w:t>º</w:t>
      </w:r>
      <w:r w:rsidR="000B648D" w:rsidRPr="00F50D3A">
        <w:rPr>
          <w:rFonts w:ascii="Tahoma" w:eastAsia="Times New Roman" w:hAnsi="Tahoma" w:cs="Tahoma"/>
          <w:iCs/>
          <w:sz w:val="24"/>
          <w:szCs w:val="24"/>
        </w:rPr>
        <w:t xml:space="preserve"> </w:t>
      </w:r>
      <w:r w:rsidR="000B648D">
        <w:rPr>
          <w:rFonts w:ascii="Tahoma" w:eastAsia="Times New Roman" w:hAnsi="Tahoma" w:cs="Tahoma"/>
          <w:iCs/>
          <w:sz w:val="24"/>
          <w:szCs w:val="24"/>
        </w:rPr>
        <w:t>E</w:t>
      </w:r>
      <w:proofErr w:type="spellStart"/>
      <w:r w:rsidR="00317ABF">
        <w:rPr>
          <w:rFonts w:ascii="Tahoma" w:hAnsi="Tahoma" w:cs="Tahoma"/>
          <w:sz w:val="24"/>
          <w:szCs w:val="24"/>
          <w:lang w:val="pt"/>
        </w:rPr>
        <w:t>s</w:t>
      </w:r>
      <w:r w:rsidR="00317ABF" w:rsidRPr="007F50FA">
        <w:rPr>
          <w:rFonts w:ascii="Tahoma" w:hAnsi="Tahoma" w:cs="Tahoma"/>
          <w:sz w:val="24"/>
          <w:szCs w:val="24"/>
          <w:lang w:val="pt"/>
        </w:rPr>
        <w:t>sa</w:t>
      </w:r>
      <w:proofErr w:type="spellEnd"/>
      <w:r w:rsidR="009767F2" w:rsidRPr="007F50FA">
        <w:rPr>
          <w:rFonts w:ascii="Tahoma" w:hAnsi="Tahoma" w:cs="Tahoma"/>
          <w:sz w:val="24"/>
          <w:szCs w:val="24"/>
          <w:lang w:val="pt"/>
        </w:rPr>
        <w:t xml:space="preserve"> </w:t>
      </w:r>
      <w:r w:rsidR="00922F84" w:rsidRPr="007F50FA">
        <w:rPr>
          <w:rFonts w:ascii="Tahoma" w:hAnsi="Tahoma" w:cs="Tahoma"/>
          <w:sz w:val="24"/>
          <w:szCs w:val="24"/>
          <w:lang w:val="pt"/>
        </w:rPr>
        <w:t>Decisão</w:t>
      </w:r>
      <w:r w:rsidR="009767F2" w:rsidRPr="007F50FA">
        <w:rPr>
          <w:rFonts w:ascii="Tahoma" w:hAnsi="Tahoma" w:cs="Tahoma"/>
          <w:sz w:val="24"/>
          <w:szCs w:val="24"/>
          <w:lang w:val="pt"/>
        </w:rPr>
        <w:t xml:space="preserve"> entra em vigor na presente data</w:t>
      </w:r>
      <w:r w:rsidR="00317ABF">
        <w:rPr>
          <w:rFonts w:ascii="Tahoma" w:hAnsi="Tahoma" w:cs="Tahoma"/>
          <w:sz w:val="24"/>
          <w:szCs w:val="24"/>
          <w:lang w:val="pt"/>
        </w:rPr>
        <w:t>,</w:t>
      </w:r>
      <w:r w:rsidR="00C864BD">
        <w:rPr>
          <w:rFonts w:ascii="Tahoma" w:hAnsi="Tahoma" w:cs="Tahoma"/>
          <w:sz w:val="24"/>
          <w:szCs w:val="24"/>
          <w:lang w:val="pt"/>
        </w:rPr>
        <w:t xml:space="preserve"> </w:t>
      </w:r>
      <w:r w:rsidR="009767F2" w:rsidRPr="007F50FA">
        <w:rPr>
          <w:rFonts w:ascii="Tahoma" w:hAnsi="Tahoma" w:cs="Tahoma"/>
          <w:sz w:val="24"/>
          <w:szCs w:val="24"/>
          <w:lang w:val="pt"/>
        </w:rPr>
        <w:t>revogando as disposições em contrário</w:t>
      </w:r>
      <w:r w:rsidR="000B648D">
        <w:rPr>
          <w:rFonts w:ascii="Tahoma" w:hAnsi="Tahoma" w:cs="Tahoma"/>
          <w:sz w:val="24"/>
          <w:szCs w:val="24"/>
          <w:lang w:val="pt"/>
        </w:rPr>
        <w:t>.</w:t>
      </w:r>
    </w:p>
    <w:p w14:paraId="6EB99FD1" w14:textId="77777777" w:rsidR="008F4FB7" w:rsidRDefault="009767F2" w:rsidP="009767F2">
      <w:pPr>
        <w:autoSpaceDE w:val="0"/>
        <w:autoSpaceDN w:val="0"/>
        <w:adjustRightInd w:val="0"/>
        <w:spacing w:line="360" w:lineRule="auto"/>
        <w:jc w:val="both"/>
        <w:rPr>
          <w:rFonts w:ascii="Tahoma" w:hAnsi="Tahoma" w:cs="Tahoma"/>
          <w:b/>
          <w:bCs/>
          <w:sz w:val="24"/>
          <w:szCs w:val="24"/>
          <w:lang w:val="pt"/>
        </w:rPr>
      </w:pPr>
      <w:r w:rsidRPr="007F50FA">
        <w:rPr>
          <w:rFonts w:ascii="Tahoma" w:hAnsi="Tahoma" w:cs="Tahoma"/>
          <w:b/>
          <w:bCs/>
          <w:sz w:val="24"/>
          <w:szCs w:val="24"/>
          <w:lang w:val="pt"/>
        </w:rPr>
        <w:t xml:space="preserve">                                  </w:t>
      </w:r>
    </w:p>
    <w:p w14:paraId="62351713" w14:textId="530B3648" w:rsidR="009767F2" w:rsidRPr="007F50FA" w:rsidRDefault="009767F2" w:rsidP="008F4FB7">
      <w:pPr>
        <w:autoSpaceDE w:val="0"/>
        <w:autoSpaceDN w:val="0"/>
        <w:adjustRightInd w:val="0"/>
        <w:spacing w:line="360" w:lineRule="auto"/>
        <w:jc w:val="center"/>
        <w:rPr>
          <w:rFonts w:ascii="Tahoma" w:hAnsi="Tahoma" w:cs="Tahoma"/>
          <w:sz w:val="24"/>
          <w:szCs w:val="24"/>
          <w:lang w:val="pt"/>
        </w:rPr>
      </w:pPr>
      <w:r w:rsidRPr="007F50FA">
        <w:rPr>
          <w:rFonts w:ascii="Tahoma" w:hAnsi="Tahoma" w:cs="Tahoma"/>
          <w:sz w:val="24"/>
          <w:szCs w:val="24"/>
          <w:lang w:val="pt"/>
        </w:rPr>
        <w:t xml:space="preserve">Porto Alegre, </w:t>
      </w:r>
      <w:r w:rsidR="002A38FC">
        <w:rPr>
          <w:rFonts w:ascii="Tahoma" w:hAnsi="Tahoma" w:cs="Tahoma"/>
          <w:sz w:val="24"/>
          <w:szCs w:val="24"/>
          <w:lang w:val="pt"/>
        </w:rPr>
        <w:t>11</w:t>
      </w:r>
      <w:r w:rsidRPr="007F50FA">
        <w:rPr>
          <w:rFonts w:ascii="Tahoma" w:hAnsi="Tahoma" w:cs="Tahoma"/>
          <w:sz w:val="24"/>
          <w:szCs w:val="24"/>
          <w:lang w:val="pt"/>
        </w:rPr>
        <w:t xml:space="preserve"> de</w:t>
      </w:r>
      <w:r w:rsidR="00317ABF">
        <w:rPr>
          <w:rFonts w:ascii="Tahoma" w:hAnsi="Tahoma" w:cs="Tahoma"/>
          <w:sz w:val="24"/>
          <w:szCs w:val="24"/>
          <w:lang w:val="pt"/>
        </w:rPr>
        <w:t xml:space="preserve"> </w:t>
      </w:r>
      <w:r w:rsidR="002A38FC">
        <w:rPr>
          <w:rFonts w:ascii="Tahoma" w:hAnsi="Tahoma" w:cs="Tahoma"/>
          <w:sz w:val="24"/>
          <w:szCs w:val="24"/>
          <w:lang w:val="pt"/>
        </w:rPr>
        <w:t>março</w:t>
      </w:r>
      <w:r w:rsidR="000B648D">
        <w:rPr>
          <w:rFonts w:ascii="Tahoma" w:hAnsi="Tahoma" w:cs="Tahoma"/>
          <w:sz w:val="24"/>
          <w:szCs w:val="24"/>
          <w:lang w:val="pt"/>
        </w:rPr>
        <w:t xml:space="preserve"> de 202</w:t>
      </w:r>
      <w:r w:rsidR="002A38FC">
        <w:rPr>
          <w:rFonts w:ascii="Tahoma" w:hAnsi="Tahoma" w:cs="Tahoma"/>
          <w:sz w:val="24"/>
          <w:szCs w:val="24"/>
          <w:lang w:val="pt"/>
        </w:rPr>
        <w:t>5</w:t>
      </w:r>
      <w:r w:rsidRPr="007F50FA">
        <w:rPr>
          <w:rFonts w:ascii="Tahoma" w:hAnsi="Tahoma" w:cs="Tahoma"/>
          <w:sz w:val="24"/>
          <w:szCs w:val="24"/>
          <w:lang w:val="pt"/>
        </w:rPr>
        <w:t>.</w:t>
      </w:r>
    </w:p>
    <w:p w14:paraId="29C32160" w14:textId="77777777" w:rsidR="0090786E" w:rsidRDefault="0090786E" w:rsidP="009767F2">
      <w:pPr>
        <w:autoSpaceDE w:val="0"/>
        <w:autoSpaceDN w:val="0"/>
        <w:adjustRightInd w:val="0"/>
        <w:spacing w:line="360" w:lineRule="auto"/>
        <w:jc w:val="both"/>
        <w:rPr>
          <w:rFonts w:ascii="Tahoma" w:hAnsi="Tahoma" w:cs="Tahoma"/>
          <w:b/>
          <w:bCs/>
          <w:sz w:val="24"/>
          <w:szCs w:val="24"/>
          <w:lang w:val="pt"/>
        </w:rPr>
      </w:pPr>
    </w:p>
    <w:p w14:paraId="3DE421D0" w14:textId="77777777" w:rsidR="00BF30D4" w:rsidRDefault="00BF30D4" w:rsidP="00317ABF">
      <w:pPr>
        <w:autoSpaceDE w:val="0"/>
        <w:autoSpaceDN w:val="0"/>
        <w:adjustRightInd w:val="0"/>
        <w:spacing w:after="0" w:line="240" w:lineRule="auto"/>
        <w:jc w:val="center"/>
        <w:rPr>
          <w:rFonts w:ascii="Tahoma" w:hAnsi="Tahoma" w:cs="Tahoma"/>
          <w:b/>
          <w:bCs/>
          <w:sz w:val="24"/>
          <w:szCs w:val="24"/>
          <w:lang w:val="pt"/>
        </w:rPr>
      </w:pPr>
    </w:p>
    <w:p w14:paraId="73F1FC68" w14:textId="77777777" w:rsidR="009767F2" w:rsidRPr="007F50FA" w:rsidRDefault="009767F2" w:rsidP="00317ABF">
      <w:pPr>
        <w:autoSpaceDE w:val="0"/>
        <w:autoSpaceDN w:val="0"/>
        <w:adjustRightInd w:val="0"/>
        <w:spacing w:after="0" w:line="240" w:lineRule="auto"/>
        <w:jc w:val="center"/>
        <w:rPr>
          <w:rFonts w:ascii="Tahoma" w:hAnsi="Tahoma" w:cs="Tahoma"/>
          <w:b/>
          <w:bCs/>
          <w:sz w:val="24"/>
          <w:szCs w:val="24"/>
          <w:lang w:val="pt"/>
        </w:rPr>
      </w:pPr>
      <w:r w:rsidRPr="007F50FA">
        <w:rPr>
          <w:rFonts w:ascii="Tahoma" w:hAnsi="Tahoma" w:cs="Tahoma"/>
          <w:b/>
          <w:bCs/>
          <w:sz w:val="24"/>
          <w:szCs w:val="24"/>
          <w:lang w:val="pt"/>
        </w:rPr>
        <w:t>NELSON FREITAS EGUIA</w:t>
      </w:r>
    </w:p>
    <w:p w14:paraId="256D0570" w14:textId="77777777" w:rsidR="0090786E" w:rsidRPr="007F50FA" w:rsidRDefault="009767F2" w:rsidP="00317ABF">
      <w:pPr>
        <w:autoSpaceDE w:val="0"/>
        <w:autoSpaceDN w:val="0"/>
        <w:adjustRightInd w:val="0"/>
        <w:spacing w:after="0" w:line="240" w:lineRule="auto"/>
        <w:jc w:val="center"/>
        <w:rPr>
          <w:rFonts w:ascii="Tahoma" w:hAnsi="Tahoma" w:cs="Tahoma"/>
          <w:sz w:val="24"/>
          <w:szCs w:val="24"/>
        </w:rPr>
      </w:pPr>
      <w:r w:rsidRPr="007F50FA">
        <w:rPr>
          <w:rFonts w:ascii="Tahoma" w:hAnsi="Tahoma" w:cs="Tahoma"/>
          <w:b/>
          <w:bCs/>
          <w:sz w:val="24"/>
          <w:szCs w:val="24"/>
          <w:lang w:val="pt"/>
        </w:rPr>
        <w:t>Presidente do CRO/RS</w:t>
      </w:r>
    </w:p>
    <w:sectPr w:rsidR="0090786E" w:rsidRPr="007F50FA" w:rsidSect="00357F42">
      <w:headerReference w:type="default" r:id="rId9"/>
      <w:footerReference w:type="default" r:id="rId10"/>
      <w:pgSz w:w="11907" w:h="16840" w:code="9"/>
      <w:pgMar w:top="2552" w:right="851" w:bottom="851" w:left="1701" w:header="720" w:footer="567"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50EB6" w14:textId="77777777" w:rsidR="00E02782" w:rsidRDefault="00E02782">
      <w:pPr>
        <w:spacing w:after="0" w:line="240" w:lineRule="auto"/>
      </w:pPr>
      <w:r>
        <w:separator/>
      </w:r>
    </w:p>
  </w:endnote>
  <w:endnote w:type="continuationSeparator" w:id="0">
    <w:p w14:paraId="3B73F427" w14:textId="77777777" w:rsidR="00E02782" w:rsidRDefault="00E0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DB5E2" w14:textId="77777777" w:rsidR="00FA2348" w:rsidRDefault="00B64EA5" w:rsidP="00685D83">
    <w:pPr>
      <w:pStyle w:val="Rodap"/>
      <w:pBdr>
        <w:top w:val="single" w:sz="4" w:space="1" w:color="C0C0C0"/>
      </w:pBdr>
      <w:jc w:val="center"/>
      <w:rPr>
        <w:rFonts w:ascii="Arial" w:hAnsi="Arial" w:cs="Arial"/>
        <w:sz w:val="18"/>
        <w:szCs w:val="18"/>
      </w:rPr>
    </w:pPr>
    <w:r w:rsidRPr="0019028E">
      <w:rPr>
        <w:rFonts w:ascii="Arial" w:hAnsi="Arial" w:cs="Arial"/>
        <w:sz w:val="18"/>
        <w:szCs w:val="18"/>
      </w:rPr>
      <w:t xml:space="preserve">Rua </w:t>
    </w:r>
    <w:r>
      <w:rPr>
        <w:rFonts w:ascii="Arial" w:hAnsi="Arial" w:cs="Arial"/>
        <w:sz w:val="18"/>
        <w:szCs w:val="18"/>
      </w:rPr>
      <w:t>Vasco da G</w:t>
    </w:r>
    <w:r w:rsidR="00F4481D">
      <w:rPr>
        <w:rFonts w:ascii="Arial" w:hAnsi="Arial" w:cs="Arial"/>
        <w:sz w:val="18"/>
        <w:szCs w:val="18"/>
      </w:rPr>
      <w:t>ama, 720</w:t>
    </w:r>
    <w:r w:rsidRPr="0019028E">
      <w:rPr>
        <w:rFonts w:ascii="Arial" w:hAnsi="Arial" w:cs="Arial"/>
        <w:sz w:val="18"/>
        <w:szCs w:val="18"/>
      </w:rPr>
      <w:t xml:space="preserve"> – Fone: </w:t>
    </w:r>
    <w:r>
      <w:rPr>
        <w:rFonts w:ascii="Arial" w:hAnsi="Arial" w:cs="Arial"/>
        <w:sz w:val="18"/>
        <w:szCs w:val="18"/>
      </w:rPr>
      <w:t>3026</w:t>
    </w:r>
    <w:r w:rsidRPr="0019028E">
      <w:rPr>
        <w:rFonts w:ascii="Arial" w:hAnsi="Arial" w:cs="Arial"/>
        <w:sz w:val="18"/>
        <w:szCs w:val="18"/>
      </w:rPr>
      <w:t>-</w:t>
    </w:r>
    <w:r>
      <w:rPr>
        <w:rFonts w:ascii="Arial" w:hAnsi="Arial" w:cs="Arial"/>
        <w:sz w:val="18"/>
        <w:szCs w:val="18"/>
      </w:rPr>
      <w:t>1700</w:t>
    </w:r>
    <w:r w:rsidR="00F4481D">
      <w:rPr>
        <w:rFonts w:ascii="Arial" w:hAnsi="Arial" w:cs="Arial"/>
        <w:sz w:val="18"/>
        <w:szCs w:val="18"/>
      </w:rPr>
      <w:t xml:space="preserve"> – CEP 90420-110</w:t>
    </w:r>
    <w:r w:rsidRPr="0019028E">
      <w:rPr>
        <w:rFonts w:ascii="Arial" w:hAnsi="Arial" w:cs="Arial"/>
        <w:sz w:val="18"/>
        <w:szCs w:val="18"/>
      </w:rPr>
      <w:t xml:space="preserve"> – Porto Alegre –</w:t>
    </w:r>
    <w:r>
      <w:rPr>
        <w:rFonts w:ascii="Arial" w:hAnsi="Arial" w:cs="Arial"/>
        <w:sz w:val="18"/>
        <w:szCs w:val="18"/>
      </w:rPr>
      <w:t xml:space="preserve"> </w:t>
    </w:r>
    <w:r w:rsidRPr="0019028E">
      <w:rPr>
        <w:rFonts w:ascii="Arial" w:hAnsi="Arial" w:cs="Arial"/>
        <w:sz w:val="18"/>
        <w:szCs w:val="18"/>
      </w:rPr>
      <w:t>RS</w:t>
    </w:r>
  </w:p>
  <w:p w14:paraId="197772F3" w14:textId="77777777" w:rsidR="00FA2348" w:rsidRPr="0019028E" w:rsidRDefault="00B64EA5" w:rsidP="00685D83">
    <w:pPr>
      <w:pStyle w:val="Rodap"/>
      <w:jc w:val="center"/>
      <w:rPr>
        <w:rFonts w:ascii="Arial" w:hAnsi="Arial" w:cs="Arial"/>
        <w:sz w:val="18"/>
        <w:szCs w:val="18"/>
      </w:rPr>
    </w:pPr>
    <w:r w:rsidRPr="0019028E">
      <w:rPr>
        <w:rFonts w:ascii="Arial" w:hAnsi="Arial" w:cs="Arial"/>
        <w:sz w:val="18"/>
        <w:szCs w:val="18"/>
      </w:rPr>
      <w:t xml:space="preserve">Site: </w:t>
    </w:r>
    <w:r>
      <w:rPr>
        <w:rFonts w:ascii="Arial" w:hAnsi="Arial" w:cs="Arial"/>
        <w:sz w:val="18"/>
        <w:szCs w:val="18"/>
      </w:rPr>
      <w:t>www.crors.org.br</w:t>
    </w:r>
    <w:r w:rsidRPr="0019028E">
      <w:rPr>
        <w:rFonts w:ascii="Arial" w:hAnsi="Arial" w:cs="Arial"/>
        <w:sz w:val="18"/>
        <w:szCs w:val="18"/>
      </w:rPr>
      <w:t xml:space="preserve">             E-mail: crors@crors.org.br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96F21" w14:textId="77777777" w:rsidR="00E02782" w:rsidRDefault="00E02782">
      <w:pPr>
        <w:spacing w:after="0" w:line="240" w:lineRule="auto"/>
      </w:pPr>
      <w:r>
        <w:separator/>
      </w:r>
    </w:p>
  </w:footnote>
  <w:footnote w:type="continuationSeparator" w:id="0">
    <w:p w14:paraId="1DD18A54" w14:textId="77777777" w:rsidR="00E02782" w:rsidRDefault="00E0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950F7" w14:textId="77777777" w:rsidR="00FA2348" w:rsidRDefault="00B64EA5" w:rsidP="00685D83">
    <w:pPr>
      <w:jc w:val="center"/>
      <w:rPr>
        <w:rFonts w:ascii="Tahoma" w:hAnsi="Tahoma" w:cs="Tahoma"/>
        <w:b/>
        <w:i/>
      </w:rPr>
    </w:pPr>
    <w:r>
      <w:rPr>
        <w:rFonts w:ascii="Tahoma" w:hAnsi="Tahoma" w:cs="Tahoma"/>
        <w:b/>
        <w:i/>
        <w:noProof/>
        <w:lang w:eastAsia="pt-BR"/>
      </w:rPr>
      <mc:AlternateContent>
        <mc:Choice Requires="wps">
          <w:drawing>
            <wp:anchor distT="0" distB="0" distL="114300" distR="114300" simplePos="0" relativeHeight="251659264" behindDoc="0" locked="0" layoutInCell="1" allowOverlap="1" wp14:anchorId="1EC8D017" wp14:editId="18E3B4EF">
              <wp:simplePos x="0" y="0"/>
              <wp:positionH relativeFrom="column">
                <wp:posOffset>2285365</wp:posOffset>
              </wp:positionH>
              <wp:positionV relativeFrom="paragraph">
                <wp:posOffset>2540</wp:posOffset>
              </wp:positionV>
              <wp:extent cx="902970" cy="805180"/>
              <wp:effectExtent l="0" t="2540" r="3175" b="254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0FF9A" w14:textId="77777777" w:rsidR="00FA2348" w:rsidRDefault="00B64EA5" w:rsidP="00685D83">
                          <w:r>
                            <w:rPr>
                              <w:noProof/>
                              <w:lang w:eastAsia="pt-BR"/>
                            </w:rPr>
                            <w:drawing>
                              <wp:inline distT="0" distB="0" distL="0" distR="0" wp14:anchorId="5DFD3C09" wp14:editId="56F4FE35">
                                <wp:extent cx="719455" cy="719455"/>
                                <wp:effectExtent l="0" t="0" r="4445" b="4445"/>
                                <wp:docPr id="1" name="Imagem 1" descr="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8D017" id="_x0000_t202" coordsize="21600,21600" o:spt="202" path="m,l,21600r21600,l21600,xe">
              <v:stroke joinstyle="miter"/>
              <v:path gradientshapeok="t" o:connecttype="rect"/>
            </v:shapetype>
            <v:shape id="Caixa de texto 2" o:spid="_x0000_s1026" type="#_x0000_t202" style="position:absolute;left:0;text-align:left;margin-left:179.95pt;margin-top:.2pt;width:71.1pt;height:63.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" filled="f" stroked="f">
              <v:textbox style="mso-fit-shape-to-text:t">
                <w:txbxContent>
                  <w:p w14:paraId="72A0FF9A" w14:textId="77777777" w:rsidR="00FA2348" w:rsidRDefault="00B64EA5" w:rsidP="00685D83">
                    <w:r>
                      <w:rPr>
                        <w:noProof/>
                        <w:lang w:eastAsia="pt-BR"/>
                      </w:rPr>
                      <w:drawing>
                        <wp:inline distT="0" distB="0" distL="0" distR="0" wp14:anchorId="5DFD3C09" wp14:editId="56F4FE35">
                          <wp:extent cx="719455" cy="719455"/>
                          <wp:effectExtent l="0" t="0" r="4445" b="4445"/>
                          <wp:docPr id="1" name="Imagem 1" descr="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inline>
                      </w:drawing>
                    </w:r>
                  </w:p>
                </w:txbxContent>
              </v:textbox>
            </v:shape>
          </w:pict>
        </mc:Fallback>
      </mc:AlternateContent>
    </w:r>
  </w:p>
  <w:p w14:paraId="1C93C9D5" w14:textId="77777777" w:rsidR="00FA2348" w:rsidRDefault="00FA2348" w:rsidP="00685D83">
    <w:pPr>
      <w:jc w:val="center"/>
      <w:rPr>
        <w:rFonts w:ascii="Tahoma" w:hAnsi="Tahoma" w:cs="Tahoma"/>
        <w:b/>
        <w:i/>
      </w:rPr>
    </w:pPr>
  </w:p>
  <w:p w14:paraId="6CB2A966" w14:textId="77777777" w:rsidR="00FA2348" w:rsidRDefault="00FA2348" w:rsidP="00685D83">
    <w:pPr>
      <w:jc w:val="center"/>
      <w:rPr>
        <w:rFonts w:ascii="Tahoma" w:hAnsi="Tahoma" w:cs="Tahoma"/>
        <w:b/>
        <w:i/>
      </w:rPr>
    </w:pPr>
  </w:p>
  <w:p w14:paraId="1D1990AA" w14:textId="77777777" w:rsidR="00FA2348" w:rsidRPr="0013121B" w:rsidRDefault="00B64EA5" w:rsidP="00685D83">
    <w:pPr>
      <w:jc w:val="center"/>
      <w:rPr>
        <w:rFonts w:ascii="Tahoma" w:hAnsi="Tahoma" w:cs="Tahoma"/>
        <w:b/>
        <w:i/>
      </w:rPr>
    </w:pPr>
    <w:r w:rsidRPr="0013121B">
      <w:rPr>
        <w:rFonts w:ascii="Tahoma" w:hAnsi="Tahoma" w:cs="Tahoma"/>
        <w:b/>
        <w:i/>
      </w:rPr>
      <w:t>Conselho Regional de Odontologia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6C7059"/>
    <w:multiLevelType w:val="hybridMultilevel"/>
    <w:tmpl w:val="C0762616"/>
    <w:lvl w:ilvl="0" w:tplc="704EEBDC">
      <w:start w:val="1"/>
      <w:numFmt w:val="decimal"/>
      <w:lvlText w:val="%1"/>
      <w:lvlJc w:val="left"/>
      <w:pPr>
        <w:ind w:left="117" w:hanging="166"/>
      </w:pPr>
      <w:rPr>
        <w:rFonts w:ascii="Times New Roman" w:eastAsia="Times New Roman" w:hAnsi="Times New Roman" w:cs="Times New Roman" w:hint="default"/>
        <w:w w:val="102"/>
        <w:sz w:val="22"/>
        <w:szCs w:val="22"/>
        <w:lang w:val="pt-PT" w:eastAsia="en-US" w:bidi="ar-SA"/>
      </w:rPr>
    </w:lvl>
    <w:lvl w:ilvl="1" w:tplc="16263244">
      <w:start w:val="1"/>
      <w:numFmt w:val="lowerLetter"/>
      <w:lvlText w:val="%2)"/>
      <w:lvlJc w:val="left"/>
      <w:pPr>
        <w:ind w:left="838" w:hanging="361"/>
      </w:pPr>
      <w:rPr>
        <w:rFonts w:ascii="Times New Roman" w:eastAsia="Times New Roman" w:hAnsi="Times New Roman" w:cs="Times New Roman" w:hint="default"/>
        <w:spacing w:val="0"/>
        <w:w w:val="102"/>
        <w:sz w:val="22"/>
        <w:szCs w:val="22"/>
        <w:lang w:val="pt-PT" w:eastAsia="en-US" w:bidi="ar-SA"/>
      </w:rPr>
    </w:lvl>
    <w:lvl w:ilvl="2" w:tplc="ABB83E90">
      <w:numFmt w:val="bullet"/>
      <w:lvlText w:val="•"/>
      <w:lvlJc w:val="left"/>
      <w:pPr>
        <w:ind w:left="1718" w:hanging="361"/>
      </w:pPr>
      <w:rPr>
        <w:lang w:val="pt-PT" w:eastAsia="en-US" w:bidi="ar-SA"/>
      </w:rPr>
    </w:lvl>
    <w:lvl w:ilvl="3" w:tplc="AF305084">
      <w:numFmt w:val="bullet"/>
      <w:lvlText w:val="•"/>
      <w:lvlJc w:val="left"/>
      <w:pPr>
        <w:ind w:left="2597" w:hanging="361"/>
      </w:pPr>
      <w:rPr>
        <w:lang w:val="pt-PT" w:eastAsia="en-US" w:bidi="ar-SA"/>
      </w:rPr>
    </w:lvl>
    <w:lvl w:ilvl="4" w:tplc="5B1E0170">
      <w:numFmt w:val="bullet"/>
      <w:lvlText w:val="•"/>
      <w:lvlJc w:val="left"/>
      <w:pPr>
        <w:ind w:left="3476" w:hanging="361"/>
      </w:pPr>
      <w:rPr>
        <w:lang w:val="pt-PT" w:eastAsia="en-US" w:bidi="ar-SA"/>
      </w:rPr>
    </w:lvl>
    <w:lvl w:ilvl="5" w:tplc="665EC578">
      <w:numFmt w:val="bullet"/>
      <w:lvlText w:val="•"/>
      <w:lvlJc w:val="left"/>
      <w:pPr>
        <w:ind w:left="4355" w:hanging="361"/>
      </w:pPr>
      <w:rPr>
        <w:lang w:val="pt-PT" w:eastAsia="en-US" w:bidi="ar-SA"/>
      </w:rPr>
    </w:lvl>
    <w:lvl w:ilvl="6" w:tplc="156ACBCE">
      <w:numFmt w:val="bullet"/>
      <w:lvlText w:val="•"/>
      <w:lvlJc w:val="left"/>
      <w:pPr>
        <w:ind w:left="5234" w:hanging="361"/>
      </w:pPr>
      <w:rPr>
        <w:lang w:val="pt-PT" w:eastAsia="en-US" w:bidi="ar-SA"/>
      </w:rPr>
    </w:lvl>
    <w:lvl w:ilvl="7" w:tplc="37DA211E">
      <w:numFmt w:val="bullet"/>
      <w:lvlText w:val="•"/>
      <w:lvlJc w:val="left"/>
      <w:pPr>
        <w:ind w:left="6113" w:hanging="361"/>
      </w:pPr>
      <w:rPr>
        <w:lang w:val="pt-PT" w:eastAsia="en-US" w:bidi="ar-SA"/>
      </w:rPr>
    </w:lvl>
    <w:lvl w:ilvl="8" w:tplc="F02E9B14">
      <w:numFmt w:val="bullet"/>
      <w:lvlText w:val="•"/>
      <w:lvlJc w:val="left"/>
      <w:pPr>
        <w:ind w:left="6992" w:hanging="361"/>
      </w:pPr>
      <w:rPr>
        <w:lang w:val="pt-PT" w:eastAsia="en-US" w:bidi="ar-SA"/>
      </w:rPr>
    </w:lvl>
  </w:abstractNum>
  <w:num w:numId="1" w16cid:durableId="75478202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7FA"/>
    <w:rsid w:val="000B648D"/>
    <w:rsid w:val="000C5052"/>
    <w:rsid w:val="000E0FD6"/>
    <w:rsid w:val="001553BC"/>
    <w:rsid w:val="001D0BE5"/>
    <w:rsid w:val="001F7C41"/>
    <w:rsid w:val="00274539"/>
    <w:rsid w:val="00285856"/>
    <w:rsid w:val="002A38FC"/>
    <w:rsid w:val="002C72B1"/>
    <w:rsid w:val="003137E1"/>
    <w:rsid w:val="00317ABF"/>
    <w:rsid w:val="003673A6"/>
    <w:rsid w:val="00395E64"/>
    <w:rsid w:val="003D3EA1"/>
    <w:rsid w:val="0041139B"/>
    <w:rsid w:val="004A29F5"/>
    <w:rsid w:val="004A49D4"/>
    <w:rsid w:val="004C0D2A"/>
    <w:rsid w:val="005240B0"/>
    <w:rsid w:val="00537E20"/>
    <w:rsid w:val="00547637"/>
    <w:rsid w:val="00570A1B"/>
    <w:rsid w:val="00580379"/>
    <w:rsid w:val="005F45F0"/>
    <w:rsid w:val="005F73C9"/>
    <w:rsid w:val="006042B0"/>
    <w:rsid w:val="00660F21"/>
    <w:rsid w:val="006731B0"/>
    <w:rsid w:val="006C168B"/>
    <w:rsid w:val="006D6D5E"/>
    <w:rsid w:val="006F3774"/>
    <w:rsid w:val="00717D94"/>
    <w:rsid w:val="00736C3B"/>
    <w:rsid w:val="007441CC"/>
    <w:rsid w:val="007F50FA"/>
    <w:rsid w:val="00827722"/>
    <w:rsid w:val="008864F3"/>
    <w:rsid w:val="008D49EC"/>
    <w:rsid w:val="008E7AAC"/>
    <w:rsid w:val="008F4FB7"/>
    <w:rsid w:val="008F5271"/>
    <w:rsid w:val="0090786E"/>
    <w:rsid w:val="00922F84"/>
    <w:rsid w:val="00932D52"/>
    <w:rsid w:val="00941C4D"/>
    <w:rsid w:val="009767F2"/>
    <w:rsid w:val="009E086D"/>
    <w:rsid w:val="009E30ED"/>
    <w:rsid w:val="009F1E3B"/>
    <w:rsid w:val="009F23DF"/>
    <w:rsid w:val="009F6CCA"/>
    <w:rsid w:val="00A15353"/>
    <w:rsid w:val="00A26174"/>
    <w:rsid w:val="00A31935"/>
    <w:rsid w:val="00AC1D84"/>
    <w:rsid w:val="00B33603"/>
    <w:rsid w:val="00B64EA5"/>
    <w:rsid w:val="00B82FE2"/>
    <w:rsid w:val="00BB1486"/>
    <w:rsid w:val="00BF30D4"/>
    <w:rsid w:val="00C42099"/>
    <w:rsid w:val="00C864BD"/>
    <w:rsid w:val="00C95A40"/>
    <w:rsid w:val="00CA4EE6"/>
    <w:rsid w:val="00CB397D"/>
    <w:rsid w:val="00CC0D7A"/>
    <w:rsid w:val="00CF27F5"/>
    <w:rsid w:val="00D61155"/>
    <w:rsid w:val="00D626B1"/>
    <w:rsid w:val="00D86C3B"/>
    <w:rsid w:val="00DB09D1"/>
    <w:rsid w:val="00DB65A2"/>
    <w:rsid w:val="00DC4891"/>
    <w:rsid w:val="00E02782"/>
    <w:rsid w:val="00E03FD4"/>
    <w:rsid w:val="00E10F69"/>
    <w:rsid w:val="00E15BB6"/>
    <w:rsid w:val="00E207FA"/>
    <w:rsid w:val="00E26736"/>
    <w:rsid w:val="00E57F65"/>
    <w:rsid w:val="00E80395"/>
    <w:rsid w:val="00E833D2"/>
    <w:rsid w:val="00E87816"/>
    <w:rsid w:val="00EA7CD2"/>
    <w:rsid w:val="00F20AF5"/>
    <w:rsid w:val="00F42624"/>
    <w:rsid w:val="00F4481D"/>
    <w:rsid w:val="00F50D3A"/>
    <w:rsid w:val="00FA2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8F2C"/>
  <w15:chartTrackingRefBased/>
  <w15:docId w15:val="{573283D5-3399-4795-A4F6-72668FC4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E207FA"/>
    <w:pPr>
      <w:tabs>
        <w:tab w:val="center" w:pos="4252"/>
        <w:tab w:val="right" w:pos="8504"/>
      </w:tabs>
      <w:spacing w:after="0" w:line="240" w:lineRule="auto"/>
    </w:pPr>
  </w:style>
  <w:style w:type="character" w:customStyle="1" w:styleId="RodapChar">
    <w:name w:val="Rodapé Char"/>
    <w:basedOn w:val="Fontepargpadro"/>
    <w:link w:val="Rodap"/>
    <w:uiPriority w:val="99"/>
    <w:rsid w:val="00E207FA"/>
  </w:style>
  <w:style w:type="paragraph" w:styleId="Cabealho">
    <w:name w:val="header"/>
    <w:basedOn w:val="Normal"/>
    <w:link w:val="CabealhoChar"/>
    <w:uiPriority w:val="99"/>
    <w:unhideWhenUsed/>
    <w:rsid w:val="00F448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4481D"/>
  </w:style>
  <w:style w:type="character" w:styleId="Refdenotaderodap">
    <w:name w:val="footnote reference"/>
    <w:rsid w:val="00C42099"/>
    <w:rPr>
      <w:vertAlign w:val="superscript"/>
    </w:rPr>
  </w:style>
  <w:style w:type="paragraph" w:styleId="Textodenotaderodap">
    <w:name w:val="footnote text"/>
    <w:basedOn w:val="Normal"/>
    <w:link w:val="TextodenotaderodapChar"/>
    <w:rsid w:val="00C42099"/>
    <w:pPr>
      <w:suppressLineNumbers/>
      <w:suppressAutoHyphens/>
      <w:spacing w:after="0" w:line="240" w:lineRule="auto"/>
      <w:ind w:left="283" w:hanging="283"/>
    </w:pPr>
    <w:rPr>
      <w:rFonts w:ascii="Arial" w:eastAsia="Times New Roman" w:hAnsi="Arial" w:cs="Arial"/>
      <w:sz w:val="20"/>
      <w:szCs w:val="20"/>
      <w:lang w:eastAsia="ar-SA"/>
    </w:rPr>
  </w:style>
  <w:style w:type="character" w:customStyle="1" w:styleId="TextodenotaderodapChar">
    <w:name w:val="Texto de nota de rodapé Char"/>
    <w:basedOn w:val="Fontepargpadro"/>
    <w:link w:val="Textodenotaderodap"/>
    <w:rsid w:val="00C42099"/>
    <w:rPr>
      <w:rFonts w:ascii="Arial" w:eastAsia="Times New Roman" w:hAnsi="Arial" w:cs="Arial"/>
      <w:sz w:val="20"/>
      <w:szCs w:val="20"/>
      <w:lang w:eastAsia="ar-SA"/>
    </w:rPr>
  </w:style>
  <w:style w:type="paragraph" w:customStyle="1" w:styleId="NormalWeb4">
    <w:name w:val="Normal (Web)4"/>
    <w:basedOn w:val="Normal"/>
    <w:rsid w:val="00C42099"/>
    <w:pPr>
      <w:spacing w:after="210" w:line="240" w:lineRule="auto"/>
    </w:pPr>
    <w:rPr>
      <w:rFonts w:ascii="Times New Roman" w:eastAsia="SimSun" w:hAnsi="Times New Roman" w:cs="Times New Roman"/>
      <w:sz w:val="21"/>
      <w:szCs w:val="21"/>
      <w:lang w:eastAsia="zh-CN"/>
    </w:rPr>
  </w:style>
  <w:style w:type="paragraph" w:styleId="Textodebalo">
    <w:name w:val="Balloon Text"/>
    <w:basedOn w:val="Normal"/>
    <w:link w:val="TextodebaloChar"/>
    <w:uiPriority w:val="99"/>
    <w:semiHidden/>
    <w:unhideWhenUsed/>
    <w:rsid w:val="00A3193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1935"/>
    <w:rPr>
      <w:rFonts w:ascii="Segoe UI" w:hAnsi="Segoe UI" w:cs="Segoe UI"/>
      <w:sz w:val="18"/>
      <w:szCs w:val="18"/>
    </w:rPr>
  </w:style>
  <w:style w:type="character" w:styleId="Hyperlink">
    <w:name w:val="Hyperlink"/>
    <w:basedOn w:val="Fontepargpadro"/>
    <w:uiPriority w:val="99"/>
    <w:unhideWhenUsed/>
    <w:rsid w:val="00395E64"/>
    <w:rPr>
      <w:color w:val="0563C1" w:themeColor="hyperlink"/>
      <w:u w:val="single"/>
    </w:rPr>
  </w:style>
  <w:style w:type="character" w:customStyle="1" w:styleId="MenoPendente1">
    <w:name w:val="Menção Pendente1"/>
    <w:basedOn w:val="Fontepargpadro"/>
    <w:uiPriority w:val="99"/>
    <w:semiHidden/>
    <w:unhideWhenUsed/>
    <w:rsid w:val="00395E64"/>
    <w:rPr>
      <w:color w:val="605E5C"/>
      <w:shd w:val="clear" w:color="auto" w:fill="E1DFDD"/>
    </w:rPr>
  </w:style>
  <w:style w:type="paragraph" w:styleId="PargrafodaLista">
    <w:name w:val="List Paragraph"/>
    <w:basedOn w:val="Normal"/>
    <w:uiPriority w:val="1"/>
    <w:qFormat/>
    <w:rsid w:val="00F20AF5"/>
    <w:pPr>
      <w:autoSpaceDE w:val="0"/>
      <w:autoSpaceDN w:val="0"/>
      <w:spacing w:after="0" w:line="240" w:lineRule="auto"/>
      <w:ind w:left="116"/>
      <w:jc w:val="both"/>
    </w:pPr>
    <w:rPr>
      <w:rFonts w:ascii="Times New Roman" w:hAnsi="Times New Roman" w:cs="Times New Roman"/>
    </w:rPr>
  </w:style>
  <w:style w:type="character" w:styleId="MenoPendente">
    <w:name w:val="Unresolved Mention"/>
    <w:basedOn w:val="Fontepargpadro"/>
    <w:uiPriority w:val="99"/>
    <w:semiHidden/>
    <w:unhideWhenUsed/>
    <w:rsid w:val="008E7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638563">
      <w:bodyDiv w:val="1"/>
      <w:marLeft w:val="0"/>
      <w:marRight w:val="0"/>
      <w:marTop w:val="0"/>
      <w:marBottom w:val="0"/>
      <w:divBdr>
        <w:top w:val="none" w:sz="0" w:space="0" w:color="auto"/>
        <w:left w:val="none" w:sz="0" w:space="0" w:color="auto"/>
        <w:bottom w:val="none" w:sz="0" w:space="0" w:color="auto"/>
        <w:right w:val="none" w:sz="0" w:space="0" w:color="auto"/>
      </w:divBdr>
    </w:div>
    <w:div w:id="1789080363">
      <w:bodyDiv w:val="1"/>
      <w:marLeft w:val="0"/>
      <w:marRight w:val="0"/>
      <w:marTop w:val="0"/>
      <w:marBottom w:val="0"/>
      <w:divBdr>
        <w:top w:val="none" w:sz="0" w:space="0" w:color="auto"/>
        <w:left w:val="none" w:sz="0" w:space="0" w:color="auto"/>
        <w:bottom w:val="none" w:sz="0" w:space="0" w:color="auto"/>
        <w:right w:val="none" w:sz="0" w:space="0" w:color="auto"/>
      </w:divBdr>
    </w:div>
    <w:div w:id="19113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z8tm7fOdiD/?img_index=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6DA0-5BC4-45EA-8BBC-CB3DB7FE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2128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 Schaidhauer Barcellos</dc:creator>
  <cp:keywords/>
  <dc:description/>
  <cp:lastModifiedBy>Leticia Voltz</cp:lastModifiedBy>
  <cp:revision>2</cp:revision>
  <cp:lastPrinted>2025-03-13T14:46:00Z</cp:lastPrinted>
  <dcterms:created xsi:type="dcterms:W3CDTF">2025-03-13T14:51:00Z</dcterms:created>
  <dcterms:modified xsi:type="dcterms:W3CDTF">2025-03-13T14:51:00Z</dcterms:modified>
</cp:coreProperties>
</file>